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46195982"/>
        <w:docPartObj>
          <w:docPartGallery w:val="Cover Pages"/>
          <w:docPartUnique/>
        </w:docPartObj>
      </w:sdtPr>
      <w:sdtEndPr/>
      <w:sdtContent>
        <w:p w14:paraId="5588E7D1" w14:textId="77777777" w:rsidR="00FF21ED" w:rsidRDefault="00FF21ED" w:rsidP="00FF21ED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B1D33F" wp14:editId="7B5135FB">
                <wp:simplePos x="0" y="0"/>
                <wp:positionH relativeFrom="page">
                  <wp:posOffset>4552950</wp:posOffset>
                </wp:positionH>
                <wp:positionV relativeFrom="page">
                  <wp:posOffset>353060</wp:posOffset>
                </wp:positionV>
                <wp:extent cx="3063446" cy="800100"/>
                <wp:effectExtent l="0" t="0" r="381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ousingLIN_logo_strapline_whiteBG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446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8A38F4" wp14:editId="23B7DF8E">
                    <wp:simplePos x="0" y="0"/>
                    <wp:positionH relativeFrom="column">
                      <wp:posOffset>-476250</wp:posOffset>
                    </wp:positionH>
                    <wp:positionV relativeFrom="paragraph">
                      <wp:posOffset>-678180</wp:posOffset>
                    </wp:positionV>
                    <wp:extent cx="7101840" cy="10241280"/>
                    <wp:effectExtent l="0" t="0" r="3810" b="762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01840" cy="102412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01EF79" id="Rectangle 4" o:spid="_x0000_s1026" style="position:absolute;margin-left:-37.5pt;margin-top:-53.4pt;width:559.2pt;height:8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" fillcolor="#f2f2f2 [3052]" stroked="f" strokeweight="1pt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080840" wp14:editId="2F316BE6">
                    <wp:simplePos x="0" y="0"/>
                    <wp:positionH relativeFrom="column">
                      <wp:posOffset>3585210</wp:posOffset>
                    </wp:positionH>
                    <wp:positionV relativeFrom="paragraph">
                      <wp:posOffset>-1333500</wp:posOffset>
                    </wp:positionV>
                    <wp:extent cx="4594860" cy="1813560"/>
                    <wp:effectExtent l="0" t="0" r="0" b="0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94860" cy="181356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3C4ABD1" id="Rectangle: Rounded Corners 3" o:spid="_x0000_s1026" style="position:absolute;margin-left:282.3pt;margin-top:-105pt;width:361.8pt;height:14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" fillcolor="white [3212]" stroked="f" strokeweight="1pt">
                    <v:stroke joinstyle="miter"/>
                  </v:roundrect>
                </w:pict>
              </mc:Fallback>
            </mc:AlternateContent>
          </w:r>
        </w:p>
        <w:p w14:paraId="00321E90" w14:textId="0BC39F7D" w:rsidR="00FF21ED" w:rsidRDefault="00FF21ED" w:rsidP="00FF21E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65920FE" wp14:editId="0E9A8E2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890905</wp:posOffset>
                    </wp:positionV>
                    <wp:extent cx="5928360" cy="381635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3816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474688" w14:textId="28A64916" w:rsidR="00FF21ED" w:rsidRPr="003F0CC5" w:rsidRDefault="00FF21ED" w:rsidP="00FF21ED">
                                <w:pPr>
                                  <w:spacing w:line="288" w:lineRule="auto"/>
                                  <w:rPr>
                                    <w:sz w:val="68"/>
                                    <w:szCs w:val="68"/>
                                  </w:rPr>
                                </w:pPr>
                                <w:r w:rsidRPr="00FF21ED">
                                  <w:rPr>
                                    <w:sz w:val="68"/>
                                    <w:szCs w:val="68"/>
                                  </w:rPr>
                                  <w:t>Housing LIN and ASH Roundtable – The case and opportunities for social landlords to promote tenants health and wellbeing in relation to tobacco use reduction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920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0;margin-top:70.15pt;width:466.8pt;height:300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" filled="f" stroked="f" strokeweight=".5pt">
                    <v:textbox>
                      <w:txbxContent>
                        <w:p w14:paraId="60474688" w14:textId="28A64916" w:rsidR="00FF21ED" w:rsidRPr="003F0CC5" w:rsidRDefault="00FF21ED" w:rsidP="00FF21ED">
                          <w:pPr>
                            <w:spacing w:line="288" w:lineRule="auto"/>
                            <w:rPr>
                              <w:sz w:val="68"/>
                              <w:szCs w:val="68"/>
                            </w:rPr>
                          </w:pPr>
                          <w:r w:rsidRPr="00FF21ED">
                            <w:rPr>
                              <w:sz w:val="68"/>
                              <w:szCs w:val="68"/>
                            </w:rPr>
                            <w:t>Housing LIN and ASH Roundtable – The case and opportunities for social landlords to promote tenants health and wellbeing in relation to tobacco use reduction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6051892" wp14:editId="5C8C4D7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7953375</wp:posOffset>
                    </wp:positionV>
                    <wp:extent cx="5928360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0E1F20" w14:textId="77777777" w:rsidR="00FF21ED" w:rsidRDefault="00FF21ED" w:rsidP="00FF21ED">
                                <w:pPr>
                                  <w:spacing w:line="288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32EBD">
                                  <w:rPr>
                                    <w:sz w:val="28"/>
                                    <w:szCs w:val="28"/>
                                  </w:rPr>
                                  <w:t>Housing Learning and Improvement Network</w:t>
                                </w:r>
                              </w:p>
                              <w:p w14:paraId="39CCF294" w14:textId="77777777" w:rsidR="00FF21ED" w:rsidRPr="00632EBD" w:rsidRDefault="00FF21ED" w:rsidP="00FF21ED">
                                <w:pPr>
                                  <w:spacing w:line="288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Lois Beech and Ian Copeman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051892" id="Text Box 12" o:spid="_x0000_s1027" type="#_x0000_t202" style="position:absolute;margin-left:0;margin-top:626.25pt;width:466.8pt;height:1in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qYLwIAAFoEAAAOAAAAZHJzL2Uyb0RvYy54bWysVN9v2jAQfp+0/8Hy+0igwFp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" filled="f" stroked="f" strokeweight=".5pt">
                    <v:textbox>
                      <w:txbxContent>
                        <w:p w14:paraId="750E1F20" w14:textId="77777777" w:rsidR="00FF21ED" w:rsidRDefault="00FF21ED" w:rsidP="00FF21ED">
                          <w:pPr>
                            <w:spacing w:line="288" w:lineRule="auto"/>
                            <w:rPr>
                              <w:sz w:val="28"/>
                              <w:szCs w:val="28"/>
                            </w:rPr>
                          </w:pPr>
                          <w:r w:rsidRPr="00632EBD">
                            <w:rPr>
                              <w:sz w:val="28"/>
                              <w:szCs w:val="28"/>
                            </w:rPr>
                            <w:t>Housing Learning and Improvement Network</w:t>
                          </w:r>
                        </w:p>
                        <w:p w14:paraId="39CCF294" w14:textId="77777777" w:rsidR="00FF21ED" w:rsidRPr="00632EBD" w:rsidRDefault="00FF21ED" w:rsidP="00FF21ED">
                          <w:pPr>
                            <w:spacing w:line="288" w:lineRule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Lois Beech and Ian Copeman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8593F2" wp14:editId="58897518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7488555</wp:posOffset>
                    </wp:positionV>
                    <wp:extent cx="5928360" cy="388620"/>
                    <wp:effectExtent l="0" t="0" r="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388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478449" w14:textId="7DF9DFF9" w:rsidR="00FF21ED" w:rsidRPr="00632EBD" w:rsidRDefault="00FF21ED" w:rsidP="00FF21ED">
                                <w:pPr>
                                  <w:spacing w:line="288" w:lineRule="auto"/>
                                  <w:rPr>
                                    <w:rFonts w:ascii="Whitney-Bold" w:hAnsi="Whitney-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Whitney-Bold" w:hAnsi="Whitney-Bold"/>
                                    <w:sz w:val="28"/>
                                    <w:szCs w:val="28"/>
                                  </w:rPr>
                                  <w:t>August</w:t>
                                </w:r>
                                <w:r w:rsidRPr="00632EBD">
                                  <w:rPr>
                                    <w:rFonts w:ascii="Whitney-Bold" w:hAnsi="Whitney-Bold"/>
                                    <w:sz w:val="28"/>
                                    <w:szCs w:val="28"/>
                                  </w:rPr>
                                  <w:t xml:space="preserve"> 20</w:t>
                                </w:r>
                                <w:r>
                                  <w:rPr>
                                    <w:rFonts w:ascii="Whitney-Bold" w:hAnsi="Whitney-Bold"/>
                                    <w:sz w:val="28"/>
                                    <w:szCs w:val="28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8593F2" id="Text Box 11" o:spid="_x0000_s1028" type="#_x0000_t202" style="position:absolute;margin-left:0;margin-top:589.65pt;width:466.8pt;height:30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" filled="f" stroked="f" strokeweight=".5pt">
                    <v:textbox>
                      <w:txbxContent>
                        <w:p w14:paraId="6A478449" w14:textId="7DF9DFF9" w:rsidR="00FF21ED" w:rsidRPr="00632EBD" w:rsidRDefault="00FF21ED" w:rsidP="00FF21ED">
                          <w:pPr>
                            <w:spacing w:line="288" w:lineRule="auto"/>
                            <w:rPr>
                              <w:rFonts w:ascii="Whitney-Bold" w:hAnsi="Whitney-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Whitney-Bold" w:hAnsi="Whitney-Bold"/>
                              <w:sz w:val="28"/>
                              <w:szCs w:val="28"/>
                            </w:rPr>
                            <w:t>August</w:t>
                          </w:r>
                          <w:r w:rsidRPr="00632EBD">
                            <w:rPr>
                              <w:rFonts w:ascii="Whitney-Bold" w:hAnsi="Whitney-Bold"/>
                              <w:sz w:val="28"/>
                              <w:szCs w:val="28"/>
                            </w:rPr>
                            <w:t xml:space="preserve"> 20</w:t>
                          </w:r>
                          <w:r>
                            <w:rPr>
                              <w:rFonts w:ascii="Whitney-Bold" w:hAnsi="Whitney-Bold"/>
                              <w:sz w:val="28"/>
                              <w:szCs w:val="28"/>
                            </w:rPr>
                            <w:t>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C5DECD1" wp14:editId="3B7834D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4737735</wp:posOffset>
                    </wp:positionV>
                    <wp:extent cx="5928360" cy="946150"/>
                    <wp:effectExtent l="0" t="0" r="0" b="635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28360" cy="946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F02C12" w14:textId="738FB779" w:rsidR="00FF21ED" w:rsidRDefault="00FF21ED" w:rsidP="00FF21ED">
                                <w:pPr>
                                  <w:spacing w:line="288" w:lineRule="auto"/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  <w:t>Key Findings</w:t>
                                </w:r>
                                <w:r w:rsidRPr="00632EBD"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  <w:t xml:space="preserve"> ASH</w:t>
                                </w:r>
                              </w:p>
                              <w:p w14:paraId="6B7E9836" w14:textId="16B9E9D2" w:rsidR="00FF21ED" w:rsidRPr="00632EBD" w:rsidRDefault="00FF21ED" w:rsidP="00FF21ED">
                                <w:pPr>
                                  <w:spacing w:line="288" w:lineRule="auto"/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</w:pPr>
                                <w:r w:rsidRPr="00FF21ED">
                                  <w:rPr>
                                    <w:rFonts w:ascii="Whitney-Bold" w:hAnsi="Whitney-Bold"/>
                                    <w:sz w:val="44"/>
                                    <w:szCs w:val="44"/>
                                  </w:rPr>
                                  <w:t>Date: Monday 9th August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DECD1" id="Text Box 10" o:spid="_x0000_s1029" type="#_x0000_t202" style="position:absolute;margin-left:0;margin-top:373.05pt;width:466.8pt;height:74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" filled="f" stroked="f" strokeweight=".5pt">
                    <v:textbox>
                      <w:txbxContent>
                        <w:p w14:paraId="39F02C12" w14:textId="738FB779" w:rsidR="00FF21ED" w:rsidRDefault="00FF21ED" w:rsidP="00FF21ED">
                          <w:pPr>
                            <w:spacing w:line="288" w:lineRule="auto"/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  <w:t>Key Findings</w:t>
                          </w:r>
                          <w:r w:rsidRPr="00632EBD"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  <w:t xml:space="preserve"> for</w:t>
                          </w:r>
                          <w:r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  <w:t xml:space="preserve"> ASH</w:t>
                          </w:r>
                        </w:p>
                        <w:p w14:paraId="6B7E9836" w14:textId="16B9E9D2" w:rsidR="00FF21ED" w:rsidRPr="00632EBD" w:rsidRDefault="00FF21ED" w:rsidP="00FF21ED">
                          <w:pPr>
                            <w:spacing w:line="288" w:lineRule="auto"/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</w:pPr>
                          <w:r w:rsidRPr="00FF21ED">
                            <w:rPr>
                              <w:rFonts w:ascii="Whitney-Bold" w:hAnsi="Whitney-Bold"/>
                              <w:sz w:val="44"/>
                              <w:szCs w:val="44"/>
                            </w:rPr>
                            <w:t>Date: Monday 9th August 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Calibri" w:eastAsia="Calibri" w:hAnsi="Calibri" w:cs="Times New Roman"/>
        </w:rPr>
        <w:id w:val="587195632"/>
        <w:docPartObj>
          <w:docPartGallery w:val="Table of Contents"/>
          <w:docPartUnique/>
        </w:docPartObj>
      </w:sdtPr>
      <w:sdtEndPr>
        <w:rPr>
          <w:rFonts w:ascii="Segoe UI" w:hAnsi="Segoe UI" w:cs="Segoe UI"/>
          <w:b/>
          <w:bCs/>
          <w:noProof/>
        </w:rPr>
      </w:sdtEndPr>
      <w:sdtContent>
        <w:p w14:paraId="1DCB216D" w14:textId="77777777" w:rsidR="00FF21ED" w:rsidRDefault="00FF21ED" w:rsidP="00FF21ED"/>
        <w:p w14:paraId="14CE2566" w14:textId="77777777" w:rsidR="00FF21ED" w:rsidRPr="006147F2" w:rsidRDefault="00FF21ED" w:rsidP="00FF21ED">
          <w:pPr>
            <w:keepNext/>
            <w:keepLines/>
            <w:tabs>
              <w:tab w:val="left" w:pos="2844"/>
            </w:tabs>
            <w:spacing w:after="120"/>
            <w:rPr>
              <w:rFonts w:ascii="Segoe UI" w:eastAsia="Times New Roman" w:hAnsi="Segoe UI" w:cs="Segoe UI"/>
              <w:color w:val="2F5496"/>
              <w:sz w:val="44"/>
              <w:szCs w:val="44"/>
              <w:lang w:val="en-US"/>
            </w:rPr>
          </w:pPr>
          <w:r w:rsidRPr="006147F2">
            <w:rPr>
              <w:rFonts w:ascii="Calibri Light" w:eastAsia="Times New Roman" w:hAnsi="Calibri Light"/>
              <w:color w:val="2F5496"/>
              <w:sz w:val="44"/>
              <w:szCs w:val="44"/>
              <w:lang w:val="en-US"/>
            </w:rPr>
            <w:t>Contents</w:t>
          </w:r>
        </w:p>
        <w:p w14:paraId="16F62F25" w14:textId="4E3FAA7F" w:rsidR="006622A9" w:rsidRDefault="00FF21ED">
          <w:pPr>
            <w:pStyle w:val="TOC1"/>
            <w:rPr>
              <w:rFonts w:asciiTheme="minorHAnsi" w:eastAsiaTheme="minorEastAsia" w:hAnsiTheme="minorHAnsi" w:cstheme="minorBidi"/>
              <w:noProof/>
              <w:lang w:eastAsia="en-GB"/>
            </w:rPr>
          </w:pPr>
          <w:r w:rsidRPr="00B66D31">
            <w:rPr>
              <w:rFonts w:ascii="Segoe UI" w:hAnsi="Segoe UI" w:cs="Segoe UI"/>
              <w:b/>
              <w:bCs/>
              <w:noProof/>
            </w:rPr>
            <w:fldChar w:fldCharType="begin"/>
          </w:r>
          <w:r w:rsidRPr="00B66D31">
            <w:rPr>
              <w:rFonts w:ascii="Segoe UI" w:hAnsi="Segoe UI" w:cs="Segoe UI"/>
              <w:b/>
              <w:bCs/>
              <w:noProof/>
            </w:rPr>
            <w:instrText xml:space="preserve"> TOC \o "1-3" \h \z \u </w:instrText>
          </w:r>
          <w:r w:rsidRPr="00B66D31">
            <w:rPr>
              <w:rFonts w:ascii="Segoe UI" w:hAnsi="Segoe UI" w:cs="Segoe UI"/>
              <w:b/>
              <w:bCs/>
              <w:noProof/>
            </w:rPr>
            <w:fldChar w:fldCharType="separate"/>
          </w:r>
          <w:hyperlink w:anchor="_Toc79484339" w:history="1">
            <w:r w:rsidR="006622A9" w:rsidRPr="001120C2">
              <w:rPr>
                <w:rStyle w:val="Hyperlink"/>
                <w:noProof/>
              </w:rPr>
              <w:t>1.</w:t>
            </w:r>
            <w:r w:rsidR="006622A9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622A9" w:rsidRPr="001120C2">
              <w:rPr>
                <w:rStyle w:val="Hyperlink"/>
                <w:noProof/>
              </w:rPr>
              <w:t>Introduction</w:t>
            </w:r>
            <w:r w:rsidR="006622A9">
              <w:rPr>
                <w:noProof/>
                <w:webHidden/>
              </w:rPr>
              <w:tab/>
            </w:r>
            <w:r w:rsidR="006622A9">
              <w:rPr>
                <w:noProof/>
                <w:webHidden/>
              </w:rPr>
              <w:fldChar w:fldCharType="begin"/>
            </w:r>
            <w:r w:rsidR="006622A9">
              <w:rPr>
                <w:noProof/>
                <w:webHidden/>
              </w:rPr>
              <w:instrText xml:space="preserve"> PAGEREF _Toc79484339 \h </w:instrText>
            </w:r>
            <w:r w:rsidR="006622A9">
              <w:rPr>
                <w:noProof/>
                <w:webHidden/>
              </w:rPr>
            </w:r>
            <w:r w:rsidR="006622A9">
              <w:rPr>
                <w:noProof/>
                <w:webHidden/>
              </w:rPr>
              <w:fldChar w:fldCharType="separate"/>
            </w:r>
            <w:r w:rsidR="006622A9">
              <w:rPr>
                <w:noProof/>
                <w:webHidden/>
              </w:rPr>
              <w:t>3</w:t>
            </w:r>
            <w:r w:rsidR="006622A9">
              <w:rPr>
                <w:noProof/>
                <w:webHidden/>
              </w:rPr>
              <w:fldChar w:fldCharType="end"/>
            </w:r>
          </w:hyperlink>
        </w:p>
        <w:p w14:paraId="7D7B4D7E" w14:textId="73384625" w:rsidR="006622A9" w:rsidRDefault="009E3DC1">
          <w:pPr>
            <w:pStyle w:val="TOC1"/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79484340" w:history="1">
            <w:r w:rsidR="006622A9" w:rsidRPr="001120C2">
              <w:rPr>
                <w:rStyle w:val="Hyperlink"/>
                <w:noProof/>
              </w:rPr>
              <w:t>2.</w:t>
            </w:r>
            <w:r w:rsidR="006622A9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622A9" w:rsidRPr="001120C2">
              <w:rPr>
                <w:rStyle w:val="Hyperlink"/>
                <w:noProof/>
              </w:rPr>
              <w:t>Method</w:t>
            </w:r>
            <w:r w:rsidR="006622A9">
              <w:rPr>
                <w:noProof/>
                <w:webHidden/>
              </w:rPr>
              <w:tab/>
            </w:r>
            <w:r w:rsidR="006622A9">
              <w:rPr>
                <w:noProof/>
                <w:webHidden/>
              </w:rPr>
              <w:fldChar w:fldCharType="begin"/>
            </w:r>
            <w:r w:rsidR="006622A9">
              <w:rPr>
                <w:noProof/>
                <w:webHidden/>
              </w:rPr>
              <w:instrText xml:space="preserve"> PAGEREF _Toc79484340 \h </w:instrText>
            </w:r>
            <w:r w:rsidR="006622A9">
              <w:rPr>
                <w:noProof/>
                <w:webHidden/>
              </w:rPr>
            </w:r>
            <w:r w:rsidR="006622A9">
              <w:rPr>
                <w:noProof/>
                <w:webHidden/>
              </w:rPr>
              <w:fldChar w:fldCharType="separate"/>
            </w:r>
            <w:r w:rsidR="006622A9">
              <w:rPr>
                <w:noProof/>
                <w:webHidden/>
              </w:rPr>
              <w:t>3</w:t>
            </w:r>
            <w:r w:rsidR="006622A9">
              <w:rPr>
                <w:noProof/>
                <w:webHidden/>
              </w:rPr>
              <w:fldChar w:fldCharType="end"/>
            </w:r>
          </w:hyperlink>
        </w:p>
        <w:p w14:paraId="7E58DDAB" w14:textId="28D151A6" w:rsidR="006622A9" w:rsidRDefault="009E3DC1">
          <w:pPr>
            <w:pStyle w:val="TOC1"/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79484341" w:history="1">
            <w:r w:rsidR="006622A9" w:rsidRPr="001120C2">
              <w:rPr>
                <w:rStyle w:val="Hyperlink"/>
                <w:noProof/>
              </w:rPr>
              <w:t>3.</w:t>
            </w:r>
            <w:r w:rsidR="006622A9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6622A9" w:rsidRPr="001120C2">
              <w:rPr>
                <w:rStyle w:val="Hyperlink"/>
                <w:noProof/>
              </w:rPr>
              <w:t>Key Messages</w:t>
            </w:r>
            <w:r w:rsidR="006622A9">
              <w:rPr>
                <w:noProof/>
                <w:webHidden/>
              </w:rPr>
              <w:tab/>
            </w:r>
            <w:r w:rsidR="006622A9">
              <w:rPr>
                <w:noProof/>
                <w:webHidden/>
              </w:rPr>
              <w:fldChar w:fldCharType="begin"/>
            </w:r>
            <w:r w:rsidR="006622A9">
              <w:rPr>
                <w:noProof/>
                <w:webHidden/>
              </w:rPr>
              <w:instrText xml:space="preserve"> PAGEREF _Toc79484341 \h </w:instrText>
            </w:r>
            <w:r w:rsidR="006622A9">
              <w:rPr>
                <w:noProof/>
                <w:webHidden/>
              </w:rPr>
            </w:r>
            <w:r w:rsidR="006622A9">
              <w:rPr>
                <w:noProof/>
                <w:webHidden/>
              </w:rPr>
              <w:fldChar w:fldCharType="separate"/>
            </w:r>
            <w:r w:rsidR="006622A9">
              <w:rPr>
                <w:noProof/>
                <w:webHidden/>
              </w:rPr>
              <w:t>4</w:t>
            </w:r>
            <w:r w:rsidR="006622A9">
              <w:rPr>
                <w:noProof/>
                <w:webHidden/>
              </w:rPr>
              <w:fldChar w:fldCharType="end"/>
            </w:r>
          </w:hyperlink>
        </w:p>
        <w:p w14:paraId="3ED3F4E5" w14:textId="323CF5EA" w:rsidR="00FF21ED" w:rsidRPr="00B66D31" w:rsidRDefault="00FF21ED" w:rsidP="00FF21ED">
          <w:pPr>
            <w:pStyle w:val="TOC1"/>
            <w:rPr>
              <w:rFonts w:ascii="Segoe UI" w:eastAsiaTheme="minorEastAsia" w:hAnsi="Segoe UI" w:cs="Segoe UI"/>
              <w:noProof/>
              <w:lang w:eastAsia="en-GB"/>
            </w:rPr>
          </w:pPr>
          <w:r w:rsidRPr="00B66D31">
            <w:rPr>
              <w:rFonts w:ascii="Segoe UI" w:hAnsi="Segoe UI" w:cs="Segoe UI"/>
              <w:b/>
              <w:bCs/>
              <w:noProof/>
            </w:rPr>
            <w:fldChar w:fldCharType="end"/>
          </w:r>
        </w:p>
      </w:sdtContent>
    </w:sdt>
    <w:p w14:paraId="6466CB48" w14:textId="77777777" w:rsidR="00FF21ED" w:rsidRDefault="00FF21ED" w:rsidP="00FF21E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56917E0B" w14:textId="77777777" w:rsidR="00FF21ED" w:rsidRPr="001B379B" w:rsidRDefault="00FF21ED" w:rsidP="00FF21ED">
      <w:pPr>
        <w:pStyle w:val="Heading1"/>
        <w:spacing w:before="0" w:after="120"/>
      </w:pPr>
      <w:bookmarkStart w:id="0" w:name="_Toc49509035"/>
      <w:bookmarkStart w:id="1" w:name="_Toc79484339"/>
      <w:r w:rsidRPr="001B379B">
        <w:t>Introduction</w:t>
      </w:r>
      <w:bookmarkEnd w:id="0"/>
      <w:bookmarkEnd w:id="1"/>
    </w:p>
    <w:p w14:paraId="7C9DDC9D" w14:textId="155D6B4F" w:rsidR="00FF21ED" w:rsidRDefault="00FF21ED" w:rsidP="00FF21ED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 w:rsidRPr="00FF21ED">
        <w:rPr>
          <w:rFonts w:ascii="Segoe UI" w:hAnsi="Segoe UI" w:cs="Segoe UI"/>
          <w:szCs w:val="20"/>
        </w:rPr>
        <w:t xml:space="preserve">This is a report from the Housing Learning and Improvement Network (Housing </w:t>
      </w:r>
      <w:r w:rsidR="00F76632" w:rsidRPr="00FF21ED">
        <w:rPr>
          <w:rFonts w:ascii="Segoe UI" w:hAnsi="Segoe UI" w:cs="Segoe UI"/>
          <w:szCs w:val="20"/>
        </w:rPr>
        <w:t>LIN) of</w:t>
      </w:r>
      <w:r w:rsidR="00F33510">
        <w:rPr>
          <w:rFonts w:ascii="Segoe UI" w:hAnsi="Segoe UI" w:cs="Segoe UI"/>
          <w:szCs w:val="20"/>
        </w:rPr>
        <w:t xml:space="preserve"> the key findings from </w:t>
      </w:r>
      <w:r w:rsidR="00F76632">
        <w:rPr>
          <w:rFonts w:ascii="Segoe UI" w:hAnsi="Segoe UI" w:cs="Segoe UI"/>
          <w:szCs w:val="20"/>
        </w:rPr>
        <w:t>a roundtable hosted on Monday 9</w:t>
      </w:r>
      <w:r w:rsidR="00F76632" w:rsidRPr="00F76632">
        <w:rPr>
          <w:rFonts w:ascii="Segoe UI" w:hAnsi="Segoe UI" w:cs="Segoe UI"/>
          <w:szCs w:val="20"/>
          <w:vertAlign w:val="superscript"/>
        </w:rPr>
        <w:t>th</w:t>
      </w:r>
      <w:r w:rsidR="00F76632">
        <w:rPr>
          <w:rFonts w:ascii="Segoe UI" w:hAnsi="Segoe UI" w:cs="Segoe UI"/>
          <w:szCs w:val="20"/>
        </w:rPr>
        <w:t xml:space="preserve"> August as part of the </w:t>
      </w:r>
      <w:r w:rsidRPr="00FF21ED">
        <w:rPr>
          <w:rFonts w:ascii="Segoe UI" w:hAnsi="Segoe UI" w:cs="Segoe UI"/>
          <w:szCs w:val="20"/>
        </w:rPr>
        <w:t xml:space="preserve">research project ‘The case and opportunities for social landlords to promote </w:t>
      </w:r>
      <w:r w:rsidR="000F5EB4" w:rsidRPr="00FF21ED">
        <w:rPr>
          <w:rFonts w:ascii="Segoe UI" w:hAnsi="Segoe UI" w:cs="Segoe UI"/>
          <w:szCs w:val="20"/>
        </w:rPr>
        <w:t>tenants’</w:t>
      </w:r>
      <w:r w:rsidRPr="00FF21ED">
        <w:rPr>
          <w:rFonts w:ascii="Segoe UI" w:hAnsi="Segoe UI" w:cs="Segoe UI"/>
          <w:szCs w:val="20"/>
        </w:rPr>
        <w:t xml:space="preserve"> health and wellbeing in relation to tobacco use reduction</w:t>
      </w:r>
      <w:r w:rsidR="000F5EB4">
        <w:rPr>
          <w:rFonts w:ascii="Segoe UI" w:hAnsi="Segoe UI" w:cs="Segoe UI"/>
          <w:szCs w:val="20"/>
        </w:rPr>
        <w:t>’</w:t>
      </w:r>
      <w:r w:rsidRPr="00FF21ED">
        <w:rPr>
          <w:rFonts w:ascii="Segoe UI" w:hAnsi="Segoe UI" w:cs="Segoe UI"/>
          <w:szCs w:val="20"/>
        </w:rPr>
        <w:t>.</w:t>
      </w:r>
    </w:p>
    <w:p w14:paraId="1D4D82D7" w14:textId="04B390E0" w:rsidR="00FF21ED" w:rsidRDefault="00FF21ED" w:rsidP="00FF21ED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The Housing LIN’s role is as a research partner to support </w:t>
      </w:r>
      <w:r w:rsidR="008805D8">
        <w:rPr>
          <w:rFonts w:ascii="Segoe UI" w:hAnsi="Segoe UI" w:cs="Segoe UI"/>
          <w:szCs w:val="20"/>
        </w:rPr>
        <w:t xml:space="preserve">ASH to better understand </w:t>
      </w:r>
      <w:r w:rsidR="000F5EB4">
        <w:rPr>
          <w:rFonts w:ascii="Segoe UI" w:hAnsi="Segoe UI" w:cs="Segoe UI"/>
          <w:szCs w:val="20"/>
        </w:rPr>
        <w:t>the role that social landlords might play in supporting their tenants to reduce smoking.</w:t>
      </w:r>
    </w:p>
    <w:p w14:paraId="4F257BC7" w14:textId="36D23C75" w:rsidR="00FF21ED" w:rsidRDefault="00FF21ED" w:rsidP="00FF21ED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For stage 1 specifically, this has involved the organisation, hosting and facilitation of </w:t>
      </w:r>
      <w:r w:rsidR="00B374F6">
        <w:rPr>
          <w:rFonts w:ascii="Segoe UI" w:hAnsi="Segoe UI" w:cs="Segoe UI"/>
          <w:szCs w:val="20"/>
        </w:rPr>
        <w:t>a</w:t>
      </w:r>
      <w:r>
        <w:rPr>
          <w:rFonts w:ascii="Segoe UI" w:hAnsi="Segoe UI" w:cs="Segoe UI"/>
          <w:szCs w:val="20"/>
        </w:rPr>
        <w:t xml:space="preserve"> virtual r</w:t>
      </w:r>
      <w:r w:rsidR="00B374F6">
        <w:rPr>
          <w:rFonts w:ascii="Segoe UI" w:hAnsi="Segoe UI" w:cs="Segoe UI"/>
          <w:szCs w:val="20"/>
        </w:rPr>
        <w:t>oundtable</w:t>
      </w:r>
      <w:r>
        <w:rPr>
          <w:rFonts w:ascii="Segoe UI" w:hAnsi="Segoe UI" w:cs="Segoe UI"/>
          <w:szCs w:val="20"/>
        </w:rPr>
        <w:t xml:space="preserve"> that enabled the research team to engage with a wide range of target stakeholders, </w:t>
      </w:r>
      <w:r w:rsidR="005D3B81">
        <w:rPr>
          <w:rFonts w:ascii="Segoe UI" w:hAnsi="Segoe UI" w:cs="Segoe UI"/>
          <w:szCs w:val="20"/>
        </w:rPr>
        <w:t>namely</w:t>
      </w:r>
      <w:r w:rsidR="003D72E1">
        <w:rPr>
          <w:rFonts w:ascii="Segoe UI" w:hAnsi="Segoe UI" w:cs="Segoe UI"/>
          <w:szCs w:val="20"/>
        </w:rPr>
        <w:t xml:space="preserve"> </w:t>
      </w:r>
      <w:r w:rsidR="005D3B81">
        <w:rPr>
          <w:rFonts w:ascii="Segoe UI" w:hAnsi="Segoe UI" w:cs="Segoe UI"/>
          <w:szCs w:val="20"/>
        </w:rPr>
        <w:t xml:space="preserve">social </w:t>
      </w:r>
      <w:r w:rsidR="003D72E1">
        <w:rPr>
          <w:rFonts w:ascii="Segoe UI" w:hAnsi="Segoe UI" w:cs="Segoe UI"/>
          <w:szCs w:val="20"/>
        </w:rPr>
        <w:t>housing providers</w:t>
      </w:r>
      <w:r w:rsidR="005D3B81">
        <w:rPr>
          <w:rFonts w:ascii="Segoe UI" w:hAnsi="Segoe UI" w:cs="Segoe UI"/>
          <w:szCs w:val="20"/>
        </w:rPr>
        <w:t>.</w:t>
      </w:r>
    </w:p>
    <w:p w14:paraId="617944CC" w14:textId="760E30D9" w:rsidR="00FF21ED" w:rsidRPr="00A50CB6" w:rsidRDefault="00FF21ED" w:rsidP="00A50CB6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The evidence from th</w:t>
      </w:r>
      <w:r w:rsidR="005D3B81">
        <w:rPr>
          <w:rFonts w:ascii="Segoe UI" w:hAnsi="Segoe UI" w:cs="Segoe UI"/>
          <w:szCs w:val="20"/>
        </w:rPr>
        <w:t>is roundtable is</w:t>
      </w:r>
      <w:r>
        <w:rPr>
          <w:rFonts w:ascii="Segoe UI" w:hAnsi="Segoe UI" w:cs="Segoe UI"/>
          <w:szCs w:val="20"/>
        </w:rPr>
        <w:t xml:space="preserve"> presented in the form of key ‘messages’ in relation to the research questions. </w:t>
      </w:r>
    </w:p>
    <w:p w14:paraId="045126C5" w14:textId="77777777" w:rsidR="00FF21ED" w:rsidRPr="005D1B85" w:rsidRDefault="00FF21ED" w:rsidP="00A362C7">
      <w:pPr>
        <w:pStyle w:val="Heading1"/>
      </w:pPr>
      <w:bookmarkStart w:id="2" w:name="_Toc79484340"/>
      <w:r w:rsidRPr="005D1B85">
        <w:t>Method</w:t>
      </w:r>
      <w:bookmarkEnd w:id="2"/>
    </w:p>
    <w:p w14:paraId="3849132E" w14:textId="1AA91B74" w:rsidR="00FF21ED" w:rsidRDefault="00FF21ED" w:rsidP="00C71658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The </w:t>
      </w:r>
      <w:r w:rsidR="00B620A5">
        <w:rPr>
          <w:rFonts w:ascii="Segoe UI" w:hAnsi="Segoe UI" w:cs="Segoe UI"/>
          <w:szCs w:val="20"/>
        </w:rPr>
        <w:t>five</w:t>
      </w:r>
      <w:r>
        <w:rPr>
          <w:rFonts w:ascii="Segoe UI" w:hAnsi="Segoe UI" w:cs="Segoe UI"/>
          <w:szCs w:val="20"/>
        </w:rPr>
        <w:t xml:space="preserve"> primary questions used to structure </w:t>
      </w:r>
      <w:r w:rsidRPr="0035706F">
        <w:rPr>
          <w:rFonts w:ascii="Segoe UI" w:hAnsi="Segoe UI" w:cs="Segoe UI"/>
          <w:szCs w:val="20"/>
        </w:rPr>
        <w:t>the discussion at each event were:</w:t>
      </w:r>
    </w:p>
    <w:p w14:paraId="0504BACA" w14:textId="20416813" w:rsidR="00C71658" w:rsidRPr="00C71658" w:rsidRDefault="00C71658" w:rsidP="00C71658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C71658">
        <w:rPr>
          <w:rFonts w:ascii="Segoe UI" w:hAnsi="Segoe UI" w:cs="Segoe UI"/>
        </w:rPr>
        <w:t>What are the opportunities for action by social landlords to support their tenants to reduce tobacco use?</w:t>
      </w:r>
    </w:p>
    <w:p w14:paraId="217E9893" w14:textId="77777777" w:rsidR="00C71658" w:rsidRPr="00C71658" w:rsidRDefault="00C71658" w:rsidP="00C71658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C71658">
        <w:rPr>
          <w:rFonts w:ascii="Segoe UI" w:hAnsi="Segoe UI" w:cs="Segoe UI"/>
        </w:rPr>
        <w:t>How/where action supporting tenants to reduce/quit smoking fits into housing providers’ existing practice and agendas?</w:t>
      </w:r>
    </w:p>
    <w:p w14:paraId="10AFF3EE" w14:textId="77777777" w:rsidR="00C71658" w:rsidRPr="00C71658" w:rsidRDefault="00C71658" w:rsidP="00C71658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C71658">
        <w:rPr>
          <w:rFonts w:ascii="Segoe UI" w:hAnsi="Segoe UI" w:cs="Segoe UI"/>
        </w:rPr>
        <w:t>What are the types and nature of the interventions that are likely to be most effective and have the greatest impact in reducing tobacco use amongst tenants?</w:t>
      </w:r>
    </w:p>
    <w:p w14:paraId="492DB199" w14:textId="77777777" w:rsidR="00C71658" w:rsidRPr="00C71658" w:rsidRDefault="00C71658" w:rsidP="00C71658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C71658">
        <w:rPr>
          <w:rFonts w:ascii="Segoe UI" w:hAnsi="Segoe UI" w:cs="Segoe UI"/>
        </w:rPr>
        <w:t>What are the challenges/barriers that prevent action being taken by social landlords?</w:t>
      </w:r>
    </w:p>
    <w:p w14:paraId="79032700" w14:textId="77777777" w:rsidR="00C71658" w:rsidRPr="00C71658" w:rsidRDefault="00C71658" w:rsidP="00C71658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" w:hAnsi="Segoe UI" w:cs="Segoe UI"/>
        </w:rPr>
      </w:pPr>
      <w:r w:rsidRPr="00C71658">
        <w:rPr>
          <w:rFonts w:ascii="Segoe UI" w:hAnsi="Segoe UI" w:cs="Segoe UI"/>
        </w:rPr>
        <w:t>How can we assist and support social landlords to work with their tenants to reduce tobacco use?</w:t>
      </w:r>
    </w:p>
    <w:p w14:paraId="1670C575" w14:textId="43B7F084" w:rsidR="00FF21ED" w:rsidRDefault="00FF21ED" w:rsidP="00C71658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The Housing LIN was able to identify the breadth of target stakeholders from its extensive membership and networks to invite to </w:t>
      </w:r>
      <w:r w:rsidR="00D64B4A">
        <w:rPr>
          <w:rFonts w:ascii="Segoe UI" w:hAnsi="Segoe UI" w:cs="Segoe UI"/>
          <w:szCs w:val="20"/>
        </w:rPr>
        <w:t>the roundtable</w:t>
      </w:r>
      <w:r w:rsidR="00B540EB">
        <w:rPr>
          <w:rFonts w:ascii="Segoe UI" w:hAnsi="Segoe UI" w:cs="Segoe UI"/>
          <w:szCs w:val="20"/>
        </w:rPr>
        <w:t>.</w:t>
      </w:r>
    </w:p>
    <w:p w14:paraId="7F53E507" w14:textId="6924AF62" w:rsidR="00FF21ED" w:rsidRPr="00406847" w:rsidRDefault="00FF21ED" w:rsidP="00FF21ED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 w:rsidRPr="00406847">
        <w:rPr>
          <w:rFonts w:ascii="Segoe UI" w:hAnsi="Segoe UI" w:cs="Segoe UI"/>
          <w:szCs w:val="20"/>
        </w:rPr>
        <w:t xml:space="preserve">The </w:t>
      </w:r>
      <w:r w:rsidR="00D64B4A">
        <w:rPr>
          <w:rFonts w:ascii="Segoe UI" w:hAnsi="Segoe UI" w:cs="Segoe UI"/>
          <w:szCs w:val="20"/>
        </w:rPr>
        <w:t>roundtable was</w:t>
      </w:r>
      <w:r>
        <w:rPr>
          <w:rFonts w:ascii="Segoe UI" w:hAnsi="Segoe UI" w:cs="Segoe UI"/>
          <w:szCs w:val="20"/>
        </w:rPr>
        <w:t xml:space="preserve"> </w:t>
      </w:r>
      <w:r w:rsidRPr="00406847">
        <w:rPr>
          <w:rFonts w:ascii="Segoe UI" w:hAnsi="Segoe UI" w:cs="Segoe UI"/>
          <w:szCs w:val="20"/>
        </w:rPr>
        <w:t>attende</w:t>
      </w:r>
      <w:r>
        <w:rPr>
          <w:rFonts w:ascii="Segoe UI" w:hAnsi="Segoe UI" w:cs="Segoe UI"/>
          <w:szCs w:val="20"/>
        </w:rPr>
        <w:t>d by representatives from</w:t>
      </w:r>
      <w:r w:rsidR="00D64B4A">
        <w:rPr>
          <w:rFonts w:ascii="Segoe UI" w:hAnsi="Segoe UI" w:cs="Segoe UI"/>
          <w:szCs w:val="20"/>
        </w:rPr>
        <w:t xml:space="preserve"> a variety of social housing providers</w:t>
      </w:r>
      <w:r w:rsidR="00BF20A9">
        <w:rPr>
          <w:rFonts w:ascii="Segoe UI" w:hAnsi="Segoe UI" w:cs="Segoe UI"/>
          <w:szCs w:val="20"/>
        </w:rPr>
        <w:t xml:space="preserve"> and </w:t>
      </w:r>
      <w:r w:rsidR="00B540EB">
        <w:rPr>
          <w:rFonts w:ascii="Segoe UI" w:hAnsi="Segoe UI" w:cs="Segoe UI"/>
          <w:szCs w:val="20"/>
        </w:rPr>
        <w:t>trade bodies.</w:t>
      </w:r>
    </w:p>
    <w:p w14:paraId="2488C577" w14:textId="2E082EC3" w:rsidR="00FF21ED" w:rsidRPr="006622A9" w:rsidRDefault="00FF21ED" w:rsidP="00FF21ED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See below a table </w:t>
      </w:r>
      <w:r w:rsidR="00901888">
        <w:rPr>
          <w:rFonts w:ascii="Segoe UI" w:hAnsi="Segoe UI" w:cs="Segoe UI"/>
          <w:szCs w:val="20"/>
        </w:rPr>
        <w:t>of organisations in attendance.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</w:tblGrid>
      <w:tr w:rsidR="00C13025" w14:paraId="0F9AC5B6" w14:textId="77777777" w:rsidTr="00F37E53">
        <w:tc>
          <w:tcPr>
            <w:tcW w:w="4394" w:type="dxa"/>
          </w:tcPr>
          <w:p w14:paraId="2E0C1BF5" w14:textId="08ED7D12" w:rsidR="00C13025" w:rsidRPr="00921597" w:rsidRDefault="00C13025" w:rsidP="004F4CB9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 in attendance</w:t>
            </w:r>
            <w:r w:rsidRPr="00921597">
              <w:rPr>
                <w:b/>
                <w:bCs/>
              </w:rPr>
              <w:t xml:space="preserve"> </w:t>
            </w:r>
          </w:p>
        </w:tc>
      </w:tr>
      <w:tr w:rsidR="00C13025" w14:paraId="4B7284C4" w14:textId="77777777" w:rsidTr="00F37E53">
        <w:tc>
          <w:tcPr>
            <w:tcW w:w="4394" w:type="dxa"/>
            <w:vAlign w:val="bottom"/>
          </w:tcPr>
          <w:p w14:paraId="3F9F8A38" w14:textId="01B5CF4C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Sanctuary Group</w:t>
            </w:r>
          </w:p>
        </w:tc>
      </w:tr>
      <w:tr w:rsidR="00C13025" w14:paraId="54BE97E2" w14:textId="77777777" w:rsidTr="00F37E53">
        <w:tc>
          <w:tcPr>
            <w:tcW w:w="4394" w:type="dxa"/>
            <w:vAlign w:val="bottom"/>
          </w:tcPr>
          <w:p w14:paraId="5456E3EA" w14:textId="599C070A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Chartered Institute of Housing</w:t>
            </w:r>
          </w:p>
        </w:tc>
      </w:tr>
      <w:tr w:rsidR="00C13025" w14:paraId="3A0A397F" w14:textId="77777777" w:rsidTr="00F37E53">
        <w:tc>
          <w:tcPr>
            <w:tcW w:w="4394" w:type="dxa"/>
            <w:vAlign w:val="bottom"/>
          </w:tcPr>
          <w:p w14:paraId="4A34E5D2" w14:textId="51C6ED03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Peabody Group</w:t>
            </w:r>
          </w:p>
        </w:tc>
      </w:tr>
      <w:tr w:rsidR="00C13025" w14:paraId="09C367F0" w14:textId="77777777" w:rsidTr="00F37E53">
        <w:tc>
          <w:tcPr>
            <w:tcW w:w="4394" w:type="dxa"/>
            <w:vAlign w:val="bottom"/>
          </w:tcPr>
          <w:p w14:paraId="7DFA35F5" w14:textId="577F78E2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The ExtraCare Charitable Trust</w:t>
            </w:r>
          </w:p>
        </w:tc>
      </w:tr>
      <w:tr w:rsidR="00C13025" w14:paraId="15236A48" w14:textId="77777777" w:rsidTr="00F37E53">
        <w:tc>
          <w:tcPr>
            <w:tcW w:w="4394" w:type="dxa"/>
            <w:vAlign w:val="bottom"/>
          </w:tcPr>
          <w:p w14:paraId="233A9098" w14:textId="4CAFCC07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New Tide Homes (Flagship Group</w:t>
            </w:r>
            <w:r w:rsidR="00F37E53">
              <w:rPr>
                <w:rFonts w:ascii="Segoe UI" w:hAnsi="Segoe UI" w:cs="Segoe UI"/>
              </w:rPr>
              <w:t>)</w:t>
            </w:r>
          </w:p>
        </w:tc>
      </w:tr>
      <w:tr w:rsidR="00C13025" w14:paraId="2A943431" w14:textId="77777777" w:rsidTr="00F37E53">
        <w:tc>
          <w:tcPr>
            <w:tcW w:w="4394" w:type="dxa"/>
            <w:vAlign w:val="bottom"/>
          </w:tcPr>
          <w:p w14:paraId="3F801042" w14:textId="6FF79BA2" w:rsidR="00C13025" w:rsidRPr="00C13025" w:rsidRDefault="00C13025" w:rsidP="00C130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C13025">
              <w:rPr>
                <w:rFonts w:ascii="Segoe UI" w:hAnsi="Segoe UI" w:cs="Segoe UI"/>
              </w:rPr>
              <w:t>rwell valley</w:t>
            </w:r>
          </w:p>
        </w:tc>
      </w:tr>
      <w:tr w:rsidR="00C13025" w14:paraId="0ABC2B61" w14:textId="77777777" w:rsidTr="00F37E53">
        <w:tc>
          <w:tcPr>
            <w:tcW w:w="4394" w:type="dxa"/>
            <w:vAlign w:val="bottom"/>
          </w:tcPr>
          <w:p w14:paraId="0F4239ED" w14:textId="00E16C8D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Virgin Care</w:t>
            </w:r>
          </w:p>
        </w:tc>
      </w:tr>
      <w:tr w:rsidR="00C13025" w14:paraId="1C7E1A47" w14:textId="77777777" w:rsidTr="00F37E53">
        <w:tc>
          <w:tcPr>
            <w:tcW w:w="4394" w:type="dxa"/>
            <w:vAlign w:val="bottom"/>
          </w:tcPr>
          <w:p w14:paraId="6FD8D92A" w14:textId="630E205B" w:rsidR="00C13025" w:rsidRPr="00C13025" w:rsidRDefault="00C13025" w:rsidP="00C13025">
            <w:pPr>
              <w:rPr>
                <w:rFonts w:ascii="Segoe UI" w:hAnsi="Segoe UI" w:cs="Segoe UI"/>
              </w:rPr>
            </w:pPr>
            <w:r w:rsidRPr="00C13025">
              <w:rPr>
                <w:rFonts w:ascii="Segoe UI" w:hAnsi="Segoe UI" w:cs="Segoe UI"/>
              </w:rPr>
              <w:t>Wakefield &amp; District Housing</w:t>
            </w:r>
          </w:p>
        </w:tc>
      </w:tr>
      <w:tr w:rsidR="005B6D12" w14:paraId="1901BEA0" w14:textId="77777777" w:rsidTr="00F37E53">
        <w:tc>
          <w:tcPr>
            <w:tcW w:w="4394" w:type="dxa"/>
            <w:vAlign w:val="bottom"/>
          </w:tcPr>
          <w:p w14:paraId="6EAA5EBF" w14:textId="517688FA" w:rsidR="005B6D12" w:rsidRPr="00BE6A74" w:rsidRDefault="005B6D12" w:rsidP="00C13025">
            <w:pPr>
              <w:rPr>
                <w:rFonts w:ascii="Segoe UI" w:hAnsi="Segoe UI" w:cs="Segoe UI"/>
              </w:rPr>
            </w:pPr>
            <w:r w:rsidRPr="00BE6A74">
              <w:rPr>
                <w:rFonts w:ascii="Segoe UI" w:hAnsi="Segoe UI" w:cs="Segoe UI"/>
              </w:rPr>
              <w:t>Bolton at Home</w:t>
            </w:r>
          </w:p>
        </w:tc>
      </w:tr>
      <w:tr w:rsidR="00BE6A74" w14:paraId="3C24AAA0" w14:textId="77777777" w:rsidTr="00F37E53">
        <w:tc>
          <w:tcPr>
            <w:tcW w:w="4394" w:type="dxa"/>
          </w:tcPr>
          <w:p w14:paraId="763DCE6A" w14:textId="4B718554" w:rsidR="00BE6A74" w:rsidRPr="00BE6A74" w:rsidRDefault="00BE6A74" w:rsidP="00BE6A74">
            <w:pPr>
              <w:rPr>
                <w:rFonts w:ascii="Segoe UI" w:hAnsi="Segoe UI" w:cs="Segoe UI"/>
              </w:rPr>
            </w:pPr>
            <w:r w:rsidRPr="00BE6A74">
              <w:rPr>
                <w:rFonts w:ascii="Segoe UI" w:hAnsi="Segoe UI" w:cs="Segoe UI"/>
              </w:rPr>
              <w:t>Grand Union Housing Group</w:t>
            </w:r>
          </w:p>
        </w:tc>
      </w:tr>
    </w:tbl>
    <w:p w14:paraId="2ED59DCE" w14:textId="77777777" w:rsidR="00FF21ED" w:rsidRDefault="00FF21ED" w:rsidP="00FF21ED">
      <w:pPr>
        <w:pStyle w:val="ListParagraph"/>
        <w:spacing w:after="120"/>
        <w:ind w:left="709"/>
        <w:contextualSpacing w:val="0"/>
        <w:rPr>
          <w:rFonts w:ascii="Segoe UI" w:hAnsi="Segoe UI" w:cs="Segoe UI"/>
          <w:szCs w:val="20"/>
        </w:rPr>
      </w:pPr>
    </w:p>
    <w:p w14:paraId="2190EF82" w14:textId="0737D678" w:rsidR="00FF21ED" w:rsidRPr="006622A9" w:rsidRDefault="00901888" w:rsidP="006622A9">
      <w:pPr>
        <w:pStyle w:val="ListParagraph"/>
        <w:numPr>
          <w:ilvl w:val="1"/>
          <w:numId w:val="3"/>
        </w:numPr>
        <w:spacing w:after="120"/>
        <w:ind w:left="709" w:hanging="709"/>
        <w:contextualSpacing w:val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The</w:t>
      </w:r>
      <w:r w:rsidR="00FF21ED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roundtable</w:t>
      </w:r>
      <w:r w:rsidR="00FF21ED">
        <w:rPr>
          <w:rFonts w:ascii="Segoe UI" w:hAnsi="Segoe UI" w:cs="Segoe UI"/>
          <w:szCs w:val="20"/>
        </w:rPr>
        <w:t xml:space="preserve"> started with </w:t>
      </w:r>
      <w:r w:rsidR="002D11F6">
        <w:rPr>
          <w:rFonts w:ascii="Segoe UI" w:hAnsi="Segoe UI" w:cs="Segoe UI"/>
          <w:szCs w:val="20"/>
        </w:rPr>
        <w:t>two</w:t>
      </w:r>
      <w:r w:rsidR="00FF21ED">
        <w:rPr>
          <w:rFonts w:ascii="Segoe UI" w:hAnsi="Segoe UI" w:cs="Segoe UI"/>
          <w:szCs w:val="20"/>
        </w:rPr>
        <w:t xml:space="preserve"> short presentation</w:t>
      </w:r>
      <w:r w:rsidR="002D11F6">
        <w:rPr>
          <w:rFonts w:ascii="Segoe UI" w:hAnsi="Segoe UI" w:cs="Segoe UI"/>
          <w:szCs w:val="20"/>
        </w:rPr>
        <w:t>s. The first</w:t>
      </w:r>
      <w:r>
        <w:rPr>
          <w:rFonts w:ascii="Segoe UI" w:hAnsi="Segoe UI" w:cs="Segoe UI"/>
          <w:szCs w:val="20"/>
        </w:rPr>
        <w:t xml:space="preserve"> from ASH</w:t>
      </w:r>
      <w:r w:rsidR="002D11F6">
        <w:rPr>
          <w:rFonts w:ascii="Segoe UI" w:hAnsi="Segoe UI" w:cs="Segoe UI"/>
          <w:szCs w:val="20"/>
        </w:rPr>
        <w:t xml:space="preserve"> that outlined the research and </w:t>
      </w:r>
      <w:r w:rsidR="0031411C">
        <w:rPr>
          <w:rFonts w:ascii="Segoe UI" w:hAnsi="Segoe UI" w:cs="Segoe UI"/>
          <w:szCs w:val="20"/>
        </w:rPr>
        <w:t>why it is important</w:t>
      </w:r>
      <w:r>
        <w:rPr>
          <w:rFonts w:ascii="Segoe UI" w:hAnsi="Segoe UI" w:cs="Segoe UI"/>
          <w:szCs w:val="20"/>
        </w:rPr>
        <w:t>,</w:t>
      </w:r>
      <w:r w:rsidR="0031411C">
        <w:rPr>
          <w:rFonts w:ascii="Segoe UI" w:hAnsi="Segoe UI" w:cs="Segoe UI"/>
          <w:szCs w:val="20"/>
        </w:rPr>
        <w:t xml:space="preserve"> the second was a</w:t>
      </w:r>
      <w:r>
        <w:rPr>
          <w:rFonts w:ascii="Segoe UI" w:hAnsi="Segoe UI" w:cs="Segoe UI"/>
          <w:szCs w:val="20"/>
        </w:rPr>
        <w:t xml:space="preserve"> presentation from Bolton at Home</w:t>
      </w:r>
      <w:r w:rsidR="00060635">
        <w:rPr>
          <w:rFonts w:ascii="Segoe UI" w:hAnsi="Segoe UI" w:cs="Segoe UI"/>
          <w:szCs w:val="20"/>
        </w:rPr>
        <w:t xml:space="preserve"> on their </w:t>
      </w:r>
      <w:r w:rsidR="00060635" w:rsidRPr="00060635">
        <w:rPr>
          <w:rFonts w:ascii="Segoe UI" w:hAnsi="Segoe UI" w:cs="Segoe UI"/>
          <w:szCs w:val="20"/>
        </w:rPr>
        <w:t>‘Quit &amp; Get Fit’ Smoking Cessation Pilot 2021</w:t>
      </w:r>
      <w:r w:rsidR="00060635">
        <w:rPr>
          <w:rFonts w:ascii="Segoe UI" w:hAnsi="Segoe UI" w:cs="Segoe UI"/>
          <w:szCs w:val="20"/>
        </w:rPr>
        <w:t xml:space="preserve">. </w:t>
      </w:r>
      <w:r w:rsidR="0031411C">
        <w:rPr>
          <w:rFonts w:ascii="Segoe UI" w:hAnsi="Segoe UI" w:cs="Segoe UI"/>
          <w:szCs w:val="20"/>
        </w:rPr>
        <w:t>This w</w:t>
      </w:r>
      <w:r w:rsidR="00FF21ED">
        <w:rPr>
          <w:rFonts w:ascii="Segoe UI" w:hAnsi="Segoe UI" w:cs="Segoe UI"/>
          <w:szCs w:val="20"/>
        </w:rPr>
        <w:t>as</w:t>
      </w:r>
      <w:r w:rsidR="0031411C">
        <w:rPr>
          <w:rFonts w:ascii="Segoe UI" w:hAnsi="Segoe UI" w:cs="Segoe UI"/>
          <w:szCs w:val="20"/>
        </w:rPr>
        <w:t xml:space="preserve"> then</w:t>
      </w:r>
      <w:r w:rsidR="00FF21ED">
        <w:rPr>
          <w:rFonts w:ascii="Segoe UI" w:hAnsi="Segoe UI" w:cs="Segoe UI"/>
          <w:szCs w:val="20"/>
        </w:rPr>
        <w:t xml:space="preserve"> followed by </w:t>
      </w:r>
      <w:r w:rsidR="0031411C">
        <w:rPr>
          <w:rFonts w:ascii="Segoe UI" w:hAnsi="Segoe UI" w:cs="Segoe UI"/>
          <w:szCs w:val="20"/>
        </w:rPr>
        <w:t xml:space="preserve">two </w:t>
      </w:r>
      <w:r w:rsidR="00FF21ED">
        <w:rPr>
          <w:rFonts w:ascii="Segoe UI" w:hAnsi="Segoe UI" w:cs="Segoe UI"/>
          <w:szCs w:val="20"/>
        </w:rPr>
        <w:t>group discussion</w:t>
      </w:r>
      <w:r w:rsidR="0031411C">
        <w:rPr>
          <w:rFonts w:ascii="Segoe UI" w:hAnsi="Segoe UI" w:cs="Segoe UI"/>
          <w:szCs w:val="20"/>
        </w:rPr>
        <w:t>s</w:t>
      </w:r>
      <w:r w:rsidR="00FF21ED">
        <w:rPr>
          <w:rFonts w:ascii="Segoe UI" w:hAnsi="Segoe UI" w:cs="Segoe UI"/>
          <w:szCs w:val="20"/>
        </w:rPr>
        <w:t xml:space="preserve"> in relation to the research questions.</w:t>
      </w:r>
    </w:p>
    <w:p w14:paraId="6C9CDD83" w14:textId="77777777" w:rsidR="00FF21ED" w:rsidRDefault="00FF21ED" w:rsidP="00A1515C">
      <w:pPr>
        <w:ind w:left="720" w:hanging="360"/>
        <w:jc w:val="right"/>
        <w:rPr>
          <w:rFonts w:ascii="Segoe UI" w:hAnsi="Segoe UI" w:cs="Segoe UI"/>
        </w:rPr>
      </w:pPr>
    </w:p>
    <w:p w14:paraId="420D8D4B" w14:textId="77777777" w:rsidR="00E555CD" w:rsidRPr="00E555CD" w:rsidRDefault="00E555CD" w:rsidP="00C81A3F">
      <w:pPr>
        <w:rPr>
          <w:rFonts w:ascii="Segoe UI" w:hAnsi="Segoe UI" w:cs="Segoe UI"/>
          <w:u w:val="single"/>
        </w:rPr>
      </w:pPr>
    </w:p>
    <w:p w14:paraId="57E42CF6" w14:textId="4BBCD54A" w:rsidR="00A1515C" w:rsidRPr="00E555CD" w:rsidRDefault="00A1515C" w:rsidP="00A362C7">
      <w:pPr>
        <w:pStyle w:val="Heading1"/>
      </w:pPr>
      <w:bookmarkStart w:id="3" w:name="_Toc79484341"/>
      <w:r w:rsidRPr="00E555CD">
        <w:t>Key Messages</w:t>
      </w:r>
      <w:bookmarkEnd w:id="3"/>
    </w:p>
    <w:p w14:paraId="0BD77319" w14:textId="0E0D26F3" w:rsidR="00715952" w:rsidRPr="006622A9" w:rsidRDefault="00715952" w:rsidP="0071595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What are the opportunities for action by social landlords to support their tenants to reduce tobacco use?</w:t>
      </w:r>
    </w:p>
    <w:p w14:paraId="299BF7AB" w14:textId="54389753" w:rsidR="00715952" w:rsidRPr="006622A9" w:rsidRDefault="00BE03CA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Participants identified a number of </w:t>
      </w:r>
      <w:r w:rsidR="0091723B" w:rsidRPr="006622A9">
        <w:rPr>
          <w:rFonts w:ascii="Segoe UI" w:hAnsi="Segoe UI" w:cs="Segoe UI"/>
        </w:rPr>
        <w:t>opportunities that social landlords could use to support their tenants to reduce tobacco use.</w:t>
      </w:r>
    </w:p>
    <w:p w14:paraId="1A121E7A" w14:textId="7717D06C" w:rsidR="0091723B" w:rsidRDefault="00D8641C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People suggested that </w:t>
      </w:r>
      <w:r w:rsidR="000A3FAE" w:rsidRPr="006622A9">
        <w:rPr>
          <w:rFonts w:ascii="Segoe UI" w:hAnsi="Segoe UI" w:cs="Segoe UI"/>
        </w:rPr>
        <w:t>social landlords could</w:t>
      </w:r>
      <w:r w:rsidR="0074501E" w:rsidRPr="006622A9">
        <w:rPr>
          <w:rFonts w:ascii="Segoe UI" w:hAnsi="Segoe UI" w:cs="Segoe UI"/>
        </w:rPr>
        <w:t xml:space="preserve"> utilise existing mechanisms so that they better understand the health and wellbeing status</w:t>
      </w:r>
      <w:r w:rsidR="009572D2" w:rsidRPr="006622A9">
        <w:rPr>
          <w:rFonts w:ascii="Segoe UI" w:hAnsi="Segoe UI" w:cs="Segoe UI"/>
        </w:rPr>
        <w:t xml:space="preserve"> of their tenants, including </w:t>
      </w:r>
      <w:r w:rsidR="001E4775" w:rsidRPr="006622A9">
        <w:rPr>
          <w:rFonts w:ascii="Segoe UI" w:hAnsi="Segoe UI" w:cs="Segoe UI"/>
        </w:rPr>
        <w:t>whether</w:t>
      </w:r>
      <w:r w:rsidR="009572D2" w:rsidRPr="006622A9">
        <w:rPr>
          <w:rFonts w:ascii="Segoe UI" w:hAnsi="Segoe UI" w:cs="Segoe UI"/>
        </w:rPr>
        <w:t xml:space="preserve"> they smoke and if they are interested in quitting</w:t>
      </w:r>
      <w:r w:rsidR="00773CD5" w:rsidRPr="006622A9">
        <w:rPr>
          <w:rFonts w:ascii="Segoe UI" w:hAnsi="Segoe UI" w:cs="Segoe UI"/>
        </w:rPr>
        <w:t xml:space="preserve">. This could be discovered at the beginning of a tenancy as part of the </w:t>
      </w:r>
      <w:r w:rsidR="001E4775" w:rsidRPr="006622A9">
        <w:rPr>
          <w:rFonts w:ascii="Segoe UI" w:hAnsi="Segoe UI" w:cs="Segoe UI"/>
        </w:rPr>
        <w:t xml:space="preserve">sign-up process, or </w:t>
      </w:r>
      <w:r w:rsidR="00736CB6" w:rsidRPr="006622A9">
        <w:rPr>
          <w:rFonts w:ascii="Segoe UI" w:hAnsi="Segoe UI" w:cs="Segoe UI"/>
        </w:rPr>
        <w:t xml:space="preserve">through other interventions such as rent arrears/debt advice services. However, </w:t>
      </w:r>
      <w:r w:rsidR="00C26E06" w:rsidRPr="006622A9">
        <w:rPr>
          <w:rFonts w:ascii="Segoe UI" w:hAnsi="Segoe UI" w:cs="Segoe UI"/>
        </w:rPr>
        <w:t>it was expressed that it is important that these questions are asked in the right way</w:t>
      </w:r>
      <w:r w:rsidR="00500082" w:rsidRPr="006622A9">
        <w:rPr>
          <w:rFonts w:ascii="Segoe UI" w:hAnsi="Segoe UI" w:cs="Segoe UI"/>
        </w:rPr>
        <w:t xml:space="preserve"> and </w:t>
      </w:r>
      <w:r w:rsidR="00134FF1" w:rsidRPr="006622A9">
        <w:rPr>
          <w:rFonts w:ascii="Segoe UI" w:hAnsi="Segoe UI" w:cs="Segoe UI"/>
        </w:rPr>
        <w:t>residents felt that they could be honest about disclosing this information.</w:t>
      </w:r>
    </w:p>
    <w:p w14:paraId="651476DA" w14:textId="44F7BBF4" w:rsidR="00D02132" w:rsidRPr="006622A9" w:rsidRDefault="00DF41D7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Where social landlords provide a health and wellbeing or tenancy support service it was acknowledged that </w:t>
      </w:r>
      <w:r w:rsidR="002A2F40" w:rsidRPr="006622A9">
        <w:rPr>
          <w:rFonts w:ascii="Segoe UI" w:hAnsi="Segoe UI" w:cs="Segoe UI"/>
        </w:rPr>
        <w:t>these services could be instrumental in supporting residents to reduce smoking.</w:t>
      </w:r>
    </w:p>
    <w:p w14:paraId="45D36CF6" w14:textId="59E49216" w:rsidR="00134FF1" w:rsidRDefault="008336A6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A</w:t>
      </w:r>
      <w:r w:rsidR="00D02132" w:rsidRPr="006622A9">
        <w:rPr>
          <w:rFonts w:ascii="Segoe UI" w:hAnsi="Segoe UI" w:cs="Segoe UI"/>
        </w:rPr>
        <w:t xml:space="preserve"> minority of social landlords</w:t>
      </w:r>
      <w:r w:rsidRPr="006622A9">
        <w:rPr>
          <w:rFonts w:ascii="Segoe UI" w:hAnsi="Segoe UI" w:cs="Segoe UI"/>
        </w:rPr>
        <w:t xml:space="preserve"> already had peer navigators/community champions in </w:t>
      </w:r>
      <w:r w:rsidR="00CF1AC6">
        <w:rPr>
          <w:rFonts w:ascii="Segoe UI" w:hAnsi="Segoe UI" w:cs="Segoe UI"/>
        </w:rPr>
        <w:t>place</w:t>
      </w:r>
      <w:r w:rsidRPr="006622A9">
        <w:rPr>
          <w:rFonts w:ascii="Segoe UI" w:hAnsi="Segoe UI" w:cs="Segoe UI"/>
        </w:rPr>
        <w:t xml:space="preserve"> and these were thought to be the most effective way of </w:t>
      </w:r>
      <w:r w:rsidR="000A0F2E" w:rsidRPr="006622A9">
        <w:rPr>
          <w:rFonts w:ascii="Segoe UI" w:hAnsi="Segoe UI" w:cs="Segoe UI"/>
        </w:rPr>
        <w:t>targeting individuals who might want to reduce smoking.</w:t>
      </w:r>
    </w:p>
    <w:p w14:paraId="6367349C" w14:textId="688BA850" w:rsidR="00715952" w:rsidRPr="006622A9" w:rsidRDefault="00715952" w:rsidP="0071595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How/where action supporting tenants to reduce/quit smoking fits into housing providers’ existing practice and agendas?</w:t>
      </w:r>
    </w:p>
    <w:p w14:paraId="613BF37E" w14:textId="2C64958B" w:rsidR="000A0F2E" w:rsidRDefault="002C47DA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The point was made that for a number of providers, the relationship between housing and health is readily acknowledged </w:t>
      </w:r>
      <w:r w:rsidR="007E4DDE" w:rsidRPr="006622A9">
        <w:rPr>
          <w:rFonts w:ascii="Segoe UI" w:hAnsi="Segoe UI" w:cs="Segoe UI"/>
        </w:rPr>
        <w:t xml:space="preserve">and therefore supporting residents to reduce smoking </w:t>
      </w:r>
      <w:r w:rsidR="00CC5F34" w:rsidRPr="006622A9">
        <w:rPr>
          <w:rFonts w:ascii="Segoe UI" w:hAnsi="Segoe UI" w:cs="Segoe UI"/>
        </w:rPr>
        <w:t>fits neatly within their agendas.</w:t>
      </w:r>
    </w:p>
    <w:p w14:paraId="29C9C838" w14:textId="0052DFE6" w:rsidR="00C41780" w:rsidRPr="006622A9" w:rsidRDefault="00C41780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>Several social landlords have health and wellbeing as a core aspect of their organisations therefore this agenda fits in well with what they are already doing.</w:t>
      </w:r>
    </w:p>
    <w:p w14:paraId="17BEF0F1" w14:textId="0D3CB649" w:rsidR="00CC5F34" w:rsidRPr="006622A9" w:rsidRDefault="00CC5F34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However, not all providers are focused </w:t>
      </w:r>
      <w:r w:rsidR="002F6269">
        <w:rPr>
          <w:rFonts w:ascii="Segoe UI" w:hAnsi="Segoe UI" w:cs="Segoe UI"/>
        </w:rPr>
        <w:t>as intently on the health and wellbeing of residents. Some primarily provide a landlord service.</w:t>
      </w:r>
    </w:p>
    <w:p w14:paraId="095A3D29" w14:textId="1EC220EC" w:rsidR="00715952" w:rsidRPr="006622A9" w:rsidRDefault="00715952" w:rsidP="0071595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What are the types and nature of the interventions that are likely to be most effective and have the greatest impact in reducing tobacco use amongst tenants?</w:t>
      </w:r>
    </w:p>
    <w:p w14:paraId="36D035FC" w14:textId="70916572" w:rsidR="00AC3D88" w:rsidRPr="006622A9" w:rsidRDefault="00B07D70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People stated that the most effective interventions are </w:t>
      </w:r>
      <w:r w:rsidR="000D3254" w:rsidRPr="006622A9">
        <w:rPr>
          <w:rFonts w:ascii="Segoe UI" w:hAnsi="Segoe UI" w:cs="Segoe UI"/>
        </w:rPr>
        <w:t>those that utilise</w:t>
      </w:r>
      <w:r w:rsidR="00684EFA" w:rsidRPr="006622A9">
        <w:rPr>
          <w:rFonts w:ascii="Segoe UI" w:hAnsi="Segoe UI" w:cs="Segoe UI"/>
        </w:rPr>
        <w:t xml:space="preserve"> peer support through</w:t>
      </w:r>
      <w:r w:rsidR="000D3254" w:rsidRPr="006622A9">
        <w:rPr>
          <w:rFonts w:ascii="Segoe UI" w:hAnsi="Segoe UI" w:cs="Segoe UI"/>
        </w:rPr>
        <w:t xml:space="preserve"> </w:t>
      </w:r>
      <w:r w:rsidR="005B3E5F" w:rsidRPr="006622A9">
        <w:rPr>
          <w:rFonts w:ascii="Segoe UI" w:hAnsi="Segoe UI" w:cs="Segoe UI"/>
        </w:rPr>
        <w:t>existing residents or community champions to build relationships and work with individuals to help them quit smoking</w:t>
      </w:r>
      <w:r w:rsidR="001F27AD">
        <w:rPr>
          <w:rFonts w:ascii="Segoe UI" w:hAnsi="Segoe UI" w:cs="Segoe UI"/>
        </w:rPr>
        <w:t xml:space="preserve"> or take part in </w:t>
      </w:r>
      <w:r w:rsidR="00174466">
        <w:rPr>
          <w:rFonts w:ascii="Segoe UI" w:hAnsi="Segoe UI" w:cs="Segoe UI"/>
        </w:rPr>
        <w:t>smoking cessation programmes.</w:t>
      </w:r>
    </w:p>
    <w:p w14:paraId="7E0A39A5" w14:textId="6795E694" w:rsidR="00B07D70" w:rsidRDefault="00FA7B74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People that smoke are more likely to </w:t>
      </w:r>
      <w:r w:rsidR="00AC3D88" w:rsidRPr="006622A9">
        <w:rPr>
          <w:rFonts w:ascii="Segoe UI" w:hAnsi="Segoe UI" w:cs="Segoe UI"/>
        </w:rPr>
        <w:t>want to engage with individuals that have been through</w:t>
      </w:r>
      <w:r w:rsidR="005E5820" w:rsidRPr="006622A9">
        <w:rPr>
          <w:rFonts w:ascii="Segoe UI" w:hAnsi="Segoe UI" w:cs="Segoe UI"/>
        </w:rPr>
        <w:t xml:space="preserve"> a similar experience or know them well. It is not always appropriate for a social landlord to enter into these conversations themselves</w:t>
      </w:r>
      <w:r w:rsidR="006637F1" w:rsidRPr="006622A9">
        <w:rPr>
          <w:rFonts w:ascii="Segoe UI" w:hAnsi="Segoe UI" w:cs="Segoe UI"/>
        </w:rPr>
        <w:t xml:space="preserve"> as it can feel </w:t>
      </w:r>
      <w:r w:rsidR="008C053B" w:rsidRPr="006622A9">
        <w:rPr>
          <w:rFonts w:ascii="Segoe UI" w:hAnsi="Segoe UI" w:cs="Segoe UI"/>
        </w:rPr>
        <w:t>demeaning</w:t>
      </w:r>
      <w:r w:rsidR="00174466">
        <w:rPr>
          <w:rFonts w:ascii="Segoe UI" w:hAnsi="Segoe UI" w:cs="Segoe UI"/>
        </w:rPr>
        <w:t>/controlling.</w:t>
      </w:r>
    </w:p>
    <w:p w14:paraId="3B7EB40C" w14:textId="365D5F2B" w:rsidR="00132C30" w:rsidRDefault="00132C30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peer navigator model that Bolton at Home </w:t>
      </w:r>
      <w:r w:rsidR="00390C39">
        <w:rPr>
          <w:rFonts w:ascii="Segoe UI" w:hAnsi="Segoe UI" w:cs="Segoe UI"/>
        </w:rPr>
        <w:t>utilised is a paid for role that was recruited for using the local C</w:t>
      </w:r>
      <w:r w:rsidR="00131A9F">
        <w:rPr>
          <w:rFonts w:ascii="Segoe UI" w:hAnsi="Segoe UI" w:cs="Segoe UI"/>
        </w:rPr>
        <w:t>ommunity and Voluntary Services</w:t>
      </w:r>
      <w:r w:rsidR="00D24119">
        <w:rPr>
          <w:rFonts w:ascii="Segoe UI" w:hAnsi="Segoe UI" w:cs="Segoe UI"/>
        </w:rPr>
        <w:t xml:space="preserve">. This was effective as </w:t>
      </w:r>
      <w:r w:rsidR="00EF466A">
        <w:rPr>
          <w:rFonts w:ascii="Segoe UI" w:hAnsi="Segoe UI" w:cs="Segoe UI"/>
        </w:rPr>
        <w:t>it</w:t>
      </w:r>
      <w:r w:rsidR="00D24119">
        <w:rPr>
          <w:rFonts w:ascii="Segoe UI" w:hAnsi="Segoe UI" w:cs="Segoe UI"/>
        </w:rPr>
        <w:t xml:space="preserve"> meant the landlord had a more hands off role</w:t>
      </w:r>
      <w:r w:rsidR="00174466">
        <w:rPr>
          <w:rFonts w:ascii="Segoe UI" w:hAnsi="Segoe UI" w:cs="Segoe UI"/>
        </w:rPr>
        <w:t xml:space="preserve"> and</w:t>
      </w:r>
      <w:r w:rsidR="00EF466A">
        <w:rPr>
          <w:rFonts w:ascii="Segoe UI" w:hAnsi="Segoe UI" w:cs="Segoe UI"/>
        </w:rPr>
        <w:t xml:space="preserve"> a trusted individual could broker a relationship with other tenants. </w:t>
      </w:r>
    </w:p>
    <w:p w14:paraId="0EE1A21C" w14:textId="6515049E" w:rsidR="00132C30" w:rsidRPr="006622A9" w:rsidRDefault="00F4550C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It was raised that it might be more </w:t>
      </w:r>
      <w:r w:rsidR="00132C30">
        <w:rPr>
          <w:rFonts w:ascii="Segoe UI" w:hAnsi="Segoe UI" w:cs="Segoe UI"/>
        </w:rPr>
        <w:t>challeng</w:t>
      </w:r>
      <w:r>
        <w:rPr>
          <w:rFonts w:ascii="Segoe UI" w:hAnsi="Segoe UI" w:cs="Segoe UI"/>
        </w:rPr>
        <w:t>ing to use peer navigators across smaller sites compared to estates where there are lots of people.</w:t>
      </w:r>
    </w:p>
    <w:p w14:paraId="1875B017" w14:textId="58089DBF" w:rsidR="00715952" w:rsidRPr="006622A9" w:rsidRDefault="002D7242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It was also expressed that i</w:t>
      </w:r>
      <w:r w:rsidR="00715952" w:rsidRPr="006622A9">
        <w:rPr>
          <w:rFonts w:ascii="Segoe UI" w:hAnsi="Segoe UI" w:cs="Segoe UI"/>
        </w:rPr>
        <w:t xml:space="preserve">nterventions that work alongside existing </w:t>
      </w:r>
      <w:r w:rsidR="00D44BB9" w:rsidRPr="006622A9">
        <w:rPr>
          <w:rFonts w:ascii="Segoe UI" w:hAnsi="Segoe UI" w:cs="Segoe UI"/>
        </w:rPr>
        <w:t xml:space="preserve">support </w:t>
      </w:r>
      <w:r w:rsidRPr="006622A9">
        <w:rPr>
          <w:rFonts w:ascii="Segoe UI" w:hAnsi="Segoe UI" w:cs="Segoe UI"/>
        </w:rPr>
        <w:t xml:space="preserve">programmes are more likely to be successful. </w:t>
      </w:r>
      <w:r w:rsidR="008559D8" w:rsidRPr="006622A9">
        <w:rPr>
          <w:rFonts w:ascii="Segoe UI" w:hAnsi="Segoe UI" w:cs="Segoe UI"/>
        </w:rPr>
        <w:t xml:space="preserve">For example, where a social landlord provides a wellbeing or tenancy support service, these could be used to </w:t>
      </w:r>
      <w:r w:rsidR="000E5DD1" w:rsidRPr="006622A9">
        <w:rPr>
          <w:rFonts w:ascii="Segoe UI" w:hAnsi="Segoe UI" w:cs="Segoe UI"/>
        </w:rPr>
        <w:t>encourage reducing tobacco use amongst tenants.</w:t>
      </w:r>
    </w:p>
    <w:p w14:paraId="370714D4" w14:textId="0B5ABA05" w:rsidR="000E5DD1" w:rsidRDefault="00C10571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Participants also highlighted that the messag</w:t>
      </w:r>
      <w:r w:rsidR="0007373D" w:rsidRPr="006622A9">
        <w:rPr>
          <w:rFonts w:ascii="Segoe UI" w:hAnsi="Segoe UI" w:cs="Segoe UI"/>
        </w:rPr>
        <w:t>ing and incentives</w:t>
      </w:r>
      <w:r w:rsidRPr="006622A9">
        <w:rPr>
          <w:rFonts w:ascii="Segoe UI" w:hAnsi="Segoe UI" w:cs="Segoe UI"/>
        </w:rPr>
        <w:t xml:space="preserve"> </w:t>
      </w:r>
      <w:r w:rsidR="00DC09A7" w:rsidRPr="006622A9">
        <w:rPr>
          <w:rFonts w:ascii="Segoe UI" w:hAnsi="Segoe UI" w:cs="Segoe UI"/>
        </w:rPr>
        <w:t xml:space="preserve">that encourage people to reduce smoking </w:t>
      </w:r>
      <w:r w:rsidR="0007373D" w:rsidRPr="006622A9">
        <w:rPr>
          <w:rFonts w:ascii="Segoe UI" w:hAnsi="Segoe UI" w:cs="Segoe UI"/>
        </w:rPr>
        <w:t xml:space="preserve">is important. </w:t>
      </w:r>
      <w:r w:rsidR="006F3399">
        <w:rPr>
          <w:rFonts w:ascii="Segoe UI" w:hAnsi="Segoe UI" w:cs="Segoe UI"/>
        </w:rPr>
        <w:t xml:space="preserve">Any messaging should avoid </w:t>
      </w:r>
      <w:r w:rsidR="007B1AB8">
        <w:rPr>
          <w:rFonts w:ascii="Segoe UI" w:hAnsi="Segoe UI" w:cs="Segoe UI"/>
        </w:rPr>
        <w:t xml:space="preserve">making tenants feel as though they are being told off. </w:t>
      </w:r>
      <w:r w:rsidR="0007373D" w:rsidRPr="006622A9">
        <w:rPr>
          <w:rFonts w:ascii="Segoe UI" w:hAnsi="Segoe UI" w:cs="Segoe UI"/>
        </w:rPr>
        <w:t xml:space="preserve">Focusing on the health benefits </w:t>
      </w:r>
      <w:r w:rsidR="005E0174" w:rsidRPr="006622A9">
        <w:rPr>
          <w:rFonts w:ascii="Segoe UI" w:hAnsi="Segoe UI" w:cs="Segoe UI"/>
        </w:rPr>
        <w:t>as well as the financial implications are likely to have the most impact</w:t>
      </w:r>
      <w:r w:rsidR="00020E3F">
        <w:rPr>
          <w:rFonts w:ascii="Segoe UI" w:hAnsi="Segoe UI" w:cs="Segoe UI"/>
        </w:rPr>
        <w:t>.</w:t>
      </w:r>
    </w:p>
    <w:p w14:paraId="329EF974" w14:textId="23A8AF7B" w:rsidR="00851894" w:rsidRPr="006622A9" w:rsidRDefault="00DF4378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What seems to also be effective is where there </w:t>
      </w:r>
      <w:r w:rsidR="00B24704">
        <w:rPr>
          <w:rFonts w:ascii="Segoe UI" w:hAnsi="Segoe UI" w:cs="Segoe UI"/>
        </w:rPr>
        <w:t xml:space="preserve">is a </w:t>
      </w:r>
      <w:r w:rsidR="004341E2">
        <w:rPr>
          <w:rFonts w:ascii="Segoe UI" w:hAnsi="Segoe UI" w:cs="Segoe UI"/>
        </w:rPr>
        <w:t>joined-up</w:t>
      </w:r>
      <w:r w:rsidR="00897DDD">
        <w:rPr>
          <w:rFonts w:ascii="Segoe UI" w:hAnsi="Segoe UI" w:cs="Segoe UI"/>
        </w:rPr>
        <w:t xml:space="preserve"> approach across housing and health. For example, in Bath, </w:t>
      </w:r>
      <w:r w:rsidR="0027293E">
        <w:rPr>
          <w:rFonts w:ascii="Segoe UI" w:hAnsi="Segoe UI" w:cs="Segoe UI"/>
        </w:rPr>
        <w:t>a</w:t>
      </w:r>
      <w:r w:rsidR="00897DDD">
        <w:rPr>
          <w:rFonts w:ascii="Segoe UI" w:hAnsi="Segoe UI" w:cs="Segoe UI"/>
        </w:rPr>
        <w:t xml:space="preserve"> </w:t>
      </w:r>
      <w:r w:rsidR="0027293E">
        <w:rPr>
          <w:rFonts w:ascii="Segoe UI" w:hAnsi="Segoe UI" w:cs="Segoe UI"/>
        </w:rPr>
        <w:t>multiagency wellbeing hub</w:t>
      </w:r>
      <w:r w:rsidR="004341E2">
        <w:rPr>
          <w:rFonts w:ascii="Segoe UI" w:hAnsi="Segoe UI" w:cs="Segoe UI"/>
        </w:rPr>
        <w:t xml:space="preserve"> has enabled </w:t>
      </w:r>
      <w:r w:rsidR="009864A3">
        <w:rPr>
          <w:rFonts w:ascii="Segoe UI" w:hAnsi="Segoe UI" w:cs="Segoe UI"/>
        </w:rPr>
        <w:t>different sectors to come together in the same place. Where housing individuals have a good relationship with health colleagues, this also seems like a successful approach.</w:t>
      </w:r>
    </w:p>
    <w:p w14:paraId="65E9045E" w14:textId="24C236A7" w:rsidR="00715952" w:rsidRPr="006622A9" w:rsidRDefault="00715952" w:rsidP="0071595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What are the challenges/barriers that prevent action being taken by social landlords?</w:t>
      </w:r>
    </w:p>
    <w:p w14:paraId="18CB0053" w14:textId="09E712E0" w:rsidR="006A10EB" w:rsidRPr="006622A9" w:rsidRDefault="006A10EB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There are a number of challenges that are preventing action being taken by social landlords on a wider scale</w:t>
      </w:r>
      <w:r w:rsidR="002C312A" w:rsidRPr="006622A9">
        <w:rPr>
          <w:rFonts w:ascii="Segoe UI" w:hAnsi="Segoe UI" w:cs="Segoe UI"/>
        </w:rPr>
        <w:t xml:space="preserve"> to reduce smoking amongst residents.</w:t>
      </w:r>
    </w:p>
    <w:p w14:paraId="47372808" w14:textId="7328CA77" w:rsidR="006A10EB" w:rsidRPr="006622A9" w:rsidRDefault="006A10EB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In part this is due to </w:t>
      </w:r>
      <w:r w:rsidR="009F67F6" w:rsidRPr="006622A9">
        <w:rPr>
          <w:rFonts w:ascii="Segoe UI" w:hAnsi="Segoe UI" w:cs="Segoe UI"/>
        </w:rPr>
        <w:t xml:space="preserve">the extensive range in the types of landlords that exist and the </w:t>
      </w:r>
      <w:r w:rsidR="001E5D3F" w:rsidRPr="006622A9">
        <w:rPr>
          <w:rFonts w:ascii="Segoe UI" w:hAnsi="Segoe UI" w:cs="Segoe UI"/>
        </w:rPr>
        <w:t>varying</w:t>
      </w:r>
      <w:r w:rsidR="006D7F49" w:rsidRPr="006622A9">
        <w:rPr>
          <w:rFonts w:ascii="Segoe UI" w:hAnsi="Segoe UI" w:cs="Segoe UI"/>
        </w:rPr>
        <w:t xml:space="preserve"> level of services they provide</w:t>
      </w:r>
      <w:r w:rsidR="00BB283F" w:rsidRPr="006622A9">
        <w:rPr>
          <w:rFonts w:ascii="Segoe UI" w:hAnsi="Segoe UI" w:cs="Segoe UI"/>
        </w:rPr>
        <w:t xml:space="preserve">. </w:t>
      </w:r>
      <w:r w:rsidR="007F1824" w:rsidRPr="006622A9">
        <w:rPr>
          <w:rFonts w:ascii="Segoe UI" w:hAnsi="Segoe UI" w:cs="Segoe UI"/>
        </w:rPr>
        <w:t xml:space="preserve">This means it is </w:t>
      </w:r>
      <w:r w:rsidR="00182954" w:rsidRPr="006622A9">
        <w:rPr>
          <w:rFonts w:ascii="Segoe UI" w:hAnsi="Segoe UI" w:cs="Segoe UI"/>
        </w:rPr>
        <w:t>difficult</w:t>
      </w:r>
      <w:r w:rsidR="007F1824" w:rsidRPr="006622A9">
        <w:rPr>
          <w:rFonts w:ascii="Segoe UI" w:hAnsi="Segoe UI" w:cs="Segoe UI"/>
        </w:rPr>
        <w:t xml:space="preserve"> to have a unified agenda as not all </w:t>
      </w:r>
      <w:r w:rsidR="006D7F49" w:rsidRPr="006622A9">
        <w:rPr>
          <w:rFonts w:ascii="Segoe UI" w:hAnsi="Segoe UI" w:cs="Segoe UI"/>
        </w:rPr>
        <w:t>landlords</w:t>
      </w:r>
      <w:r w:rsidR="007F1824" w:rsidRPr="006622A9">
        <w:rPr>
          <w:rFonts w:ascii="Segoe UI" w:hAnsi="Segoe UI" w:cs="Segoe UI"/>
        </w:rPr>
        <w:t xml:space="preserve"> provide support services</w:t>
      </w:r>
      <w:r w:rsidR="002B6CC4">
        <w:rPr>
          <w:rFonts w:ascii="Segoe UI" w:hAnsi="Segoe UI" w:cs="Segoe UI"/>
        </w:rPr>
        <w:t xml:space="preserve"> that they could tie this into.</w:t>
      </w:r>
    </w:p>
    <w:p w14:paraId="0BD3954D" w14:textId="683DC624" w:rsidR="00182954" w:rsidRPr="006622A9" w:rsidRDefault="00626F0F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Another barrier is a lack of awareness across the social housing sector of the impact of smoking on social housing tenants </w:t>
      </w:r>
      <w:r w:rsidR="00C8307B" w:rsidRPr="006622A9">
        <w:rPr>
          <w:rFonts w:ascii="Segoe UI" w:hAnsi="Segoe UI" w:cs="Segoe UI"/>
        </w:rPr>
        <w:t>both in terms of the impact on</w:t>
      </w:r>
      <w:r w:rsidR="0089136A">
        <w:rPr>
          <w:rFonts w:ascii="Segoe UI" w:hAnsi="Segoe UI" w:cs="Segoe UI"/>
        </w:rPr>
        <w:t xml:space="preserve"> residents</w:t>
      </w:r>
      <w:r w:rsidR="00C8307B" w:rsidRPr="006622A9">
        <w:rPr>
          <w:rFonts w:ascii="Segoe UI" w:hAnsi="Segoe UI" w:cs="Segoe UI"/>
        </w:rPr>
        <w:t xml:space="preserve"> health but also on </w:t>
      </w:r>
      <w:r w:rsidR="003B0B76" w:rsidRPr="006622A9">
        <w:rPr>
          <w:rFonts w:ascii="Segoe UI" w:hAnsi="Segoe UI" w:cs="Segoe UI"/>
        </w:rPr>
        <w:t>individuals’</w:t>
      </w:r>
      <w:r w:rsidR="00C8307B" w:rsidRPr="006622A9">
        <w:rPr>
          <w:rFonts w:ascii="Segoe UI" w:hAnsi="Segoe UI" w:cs="Segoe UI"/>
        </w:rPr>
        <w:t xml:space="preserve"> financial means. </w:t>
      </w:r>
      <w:r w:rsidR="0089136A">
        <w:rPr>
          <w:rFonts w:ascii="Segoe UI" w:hAnsi="Segoe UI" w:cs="Segoe UI"/>
        </w:rPr>
        <w:t xml:space="preserve">Additionally, </w:t>
      </w:r>
      <w:r w:rsidR="003B0B76" w:rsidRPr="006622A9">
        <w:rPr>
          <w:rFonts w:ascii="Segoe UI" w:hAnsi="Segoe UI" w:cs="Segoe UI"/>
        </w:rPr>
        <w:t>social landlords</w:t>
      </w:r>
      <w:r w:rsidR="0089136A">
        <w:rPr>
          <w:rFonts w:ascii="Segoe UI" w:hAnsi="Segoe UI" w:cs="Segoe UI"/>
        </w:rPr>
        <w:t xml:space="preserve"> are</w:t>
      </w:r>
      <w:r w:rsidR="003B0B76" w:rsidRPr="006622A9">
        <w:rPr>
          <w:rFonts w:ascii="Segoe UI" w:hAnsi="Segoe UI" w:cs="Segoe UI"/>
        </w:rPr>
        <w:t xml:space="preserve"> unaware of the impact </w:t>
      </w:r>
      <w:r w:rsidR="0089136A">
        <w:rPr>
          <w:rFonts w:ascii="Segoe UI" w:hAnsi="Segoe UI" w:cs="Segoe UI"/>
        </w:rPr>
        <w:t>that supporting their tenants to reduce smoking would have on t</w:t>
      </w:r>
      <w:r w:rsidR="004263A9">
        <w:rPr>
          <w:rFonts w:ascii="Segoe UI" w:hAnsi="Segoe UI" w:cs="Segoe UI"/>
        </w:rPr>
        <w:t>heir organisation. F</w:t>
      </w:r>
      <w:r w:rsidR="003B0B76" w:rsidRPr="006622A9">
        <w:rPr>
          <w:rFonts w:ascii="Segoe UI" w:hAnsi="Segoe UI" w:cs="Segoe UI"/>
        </w:rPr>
        <w:t xml:space="preserve">or example, where residents might be in rent arrears </w:t>
      </w:r>
      <w:r w:rsidR="00EA5935" w:rsidRPr="006622A9">
        <w:rPr>
          <w:rFonts w:ascii="Segoe UI" w:hAnsi="Segoe UI" w:cs="Segoe UI"/>
        </w:rPr>
        <w:t>but spending money on cigarettes</w:t>
      </w:r>
      <w:r w:rsidR="004263A9">
        <w:rPr>
          <w:rFonts w:ascii="Segoe UI" w:hAnsi="Segoe UI" w:cs="Segoe UI"/>
        </w:rPr>
        <w:t>, saving money on redecorating smoke stained properties.</w:t>
      </w:r>
    </w:p>
    <w:p w14:paraId="028865DD" w14:textId="32C57705" w:rsidR="00F8782B" w:rsidRDefault="000B14D5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Another challenge </w:t>
      </w:r>
      <w:r w:rsidR="009A1A07">
        <w:rPr>
          <w:rFonts w:ascii="Segoe UI" w:hAnsi="Segoe UI" w:cs="Segoe UI"/>
        </w:rPr>
        <w:t xml:space="preserve">raised was the </w:t>
      </w:r>
      <w:r>
        <w:rPr>
          <w:rFonts w:ascii="Segoe UI" w:hAnsi="Segoe UI" w:cs="Segoe UI"/>
        </w:rPr>
        <w:t xml:space="preserve">reluctance </w:t>
      </w:r>
      <w:r w:rsidR="009A1A07">
        <w:rPr>
          <w:rFonts w:ascii="Segoe UI" w:hAnsi="Segoe UI" w:cs="Segoe UI"/>
        </w:rPr>
        <w:t xml:space="preserve">towards landlords being involved </w:t>
      </w:r>
      <w:r w:rsidR="005B46D7">
        <w:rPr>
          <w:rFonts w:ascii="Segoe UI" w:hAnsi="Segoe UI" w:cs="Segoe UI"/>
        </w:rPr>
        <w:t xml:space="preserve">in this aspect of a residents life and that it tends to feel as though they are being told off rather than supported, even if this is not the intention. </w:t>
      </w:r>
      <w:r w:rsidR="007274E7">
        <w:rPr>
          <w:rFonts w:ascii="Segoe UI" w:hAnsi="Segoe UI" w:cs="Segoe UI"/>
        </w:rPr>
        <w:t>In turn, t</w:t>
      </w:r>
      <w:r w:rsidR="00407B2F" w:rsidRPr="006622A9">
        <w:rPr>
          <w:rFonts w:ascii="Segoe UI" w:hAnsi="Segoe UI" w:cs="Segoe UI"/>
        </w:rPr>
        <w:t xml:space="preserve">his can mean </w:t>
      </w:r>
      <w:r w:rsidR="00983E7E" w:rsidRPr="006622A9">
        <w:rPr>
          <w:rFonts w:ascii="Segoe UI" w:hAnsi="Segoe UI" w:cs="Segoe UI"/>
        </w:rPr>
        <w:t>some social</w:t>
      </w:r>
      <w:r w:rsidR="00F8782B" w:rsidRPr="006622A9">
        <w:rPr>
          <w:rFonts w:ascii="Segoe UI" w:hAnsi="Segoe UI" w:cs="Segoe UI"/>
        </w:rPr>
        <w:t xml:space="preserve"> landlords are hesitant about </w:t>
      </w:r>
      <w:r w:rsidR="00407B2F" w:rsidRPr="006622A9">
        <w:rPr>
          <w:rFonts w:ascii="Segoe UI" w:hAnsi="Segoe UI" w:cs="Segoe UI"/>
        </w:rPr>
        <w:t xml:space="preserve">intervening </w:t>
      </w:r>
      <w:r w:rsidR="007274E7">
        <w:rPr>
          <w:rFonts w:ascii="Segoe UI" w:hAnsi="Segoe UI" w:cs="Segoe UI"/>
        </w:rPr>
        <w:t>for fear of distancing themselves from tenants further.</w:t>
      </w:r>
    </w:p>
    <w:p w14:paraId="70803455" w14:textId="6A4812A4" w:rsidR="00FF389B" w:rsidRPr="006622A9" w:rsidRDefault="00FF389B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Some social landlords also stated that they were unsure about how to go about starting a conversation with their tenants about reducing smoking or the appropriate language to use.</w:t>
      </w:r>
    </w:p>
    <w:p w14:paraId="191F460A" w14:textId="0271CDF8" w:rsidR="00037CBF" w:rsidRPr="006622A9" w:rsidRDefault="00983E7E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Another barrier </w:t>
      </w:r>
      <w:r w:rsidR="00FA2863" w:rsidRPr="006622A9">
        <w:rPr>
          <w:rFonts w:ascii="Segoe UI" w:hAnsi="Segoe UI" w:cs="Segoe UI"/>
        </w:rPr>
        <w:t xml:space="preserve">mentioned was access to funding to support such interventions. </w:t>
      </w:r>
      <w:r w:rsidR="00F77FEA" w:rsidRPr="006622A9">
        <w:rPr>
          <w:rFonts w:ascii="Segoe UI" w:hAnsi="Segoe UI" w:cs="Segoe UI"/>
        </w:rPr>
        <w:t xml:space="preserve">Not all landlords have finance allocated to providing a support service, others </w:t>
      </w:r>
      <w:r w:rsidR="00E51D8D" w:rsidRPr="006622A9">
        <w:rPr>
          <w:rFonts w:ascii="Segoe UI" w:hAnsi="Segoe UI" w:cs="Segoe UI"/>
        </w:rPr>
        <w:t>have this built into their</w:t>
      </w:r>
      <w:r w:rsidR="00C7246F">
        <w:rPr>
          <w:rFonts w:ascii="Segoe UI" w:hAnsi="Segoe UI" w:cs="Segoe UI"/>
        </w:rPr>
        <w:t xml:space="preserve"> finance</w:t>
      </w:r>
      <w:r w:rsidR="00E51D8D" w:rsidRPr="006622A9">
        <w:rPr>
          <w:rFonts w:ascii="Segoe UI" w:hAnsi="Segoe UI" w:cs="Segoe UI"/>
        </w:rPr>
        <w:t xml:space="preserve"> models.</w:t>
      </w:r>
      <w:r w:rsidR="007958EB">
        <w:rPr>
          <w:rFonts w:ascii="Segoe UI" w:hAnsi="Segoe UI" w:cs="Segoe UI"/>
        </w:rPr>
        <w:t xml:space="preserve"> Some have good relationships with partner organisations that can provide the funding. For example,</w:t>
      </w:r>
      <w:r w:rsidR="00E51D8D" w:rsidRPr="006622A9">
        <w:rPr>
          <w:rFonts w:ascii="Segoe UI" w:hAnsi="Segoe UI" w:cs="Segoe UI"/>
        </w:rPr>
        <w:t xml:space="preserve"> Bolton at Home were able to access funding for their pilot project through their CCG whereas other social landlords might not have </w:t>
      </w:r>
      <w:r w:rsidR="00037CBF" w:rsidRPr="006622A9">
        <w:rPr>
          <w:rFonts w:ascii="Segoe UI" w:hAnsi="Segoe UI" w:cs="Segoe UI"/>
        </w:rPr>
        <w:t>a relationship with health colleagues.</w:t>
      </w:r>
    </w:p>
    <w:p w14:paraId="3578E314" w14:textId="734701C0" w:rsidR="00E31941" w:rsidRDefault="00625149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>It was also mentioned that a further</w:t>
      </w:r>
      <w:r w:rsidR="00E31941">
        <w:rPr>
          <w:rFonts w:ascii="Segoe UI" w:hAnsi="Segoe UI" w:cs="Segoe UI"/>
        </w:rPr>
        <w:t xml:space="preserve"> challenge is how to </w:t>
      </w:r>
      <w:r w:rsidR="00972919">
        <w:rPr>
          <w:rFonts w:ascii="Segoe UI" w:hAnsi="Segoe UI" w:cs="Segoe UI"/>
        </w:rPr>
        <w:t>tackle smoking amongst resident</w:t>
      </w:r>
      <w:r>
        <w:rPr>
          <w:rFonts w:ascii="Segoe UI" w:hAnsi="Segoe UI" w:cs="Segoe UI"/>
        </w:rPr>
        <w:t>s</w:t>
      </w:r>
      <w:r w:rsidR="00972919">
        <w:rPr>
          <w:rFonts w:ascii="Segoe UI" w:hAnsi="Segoe UI" w:cs="Segoe UI"/>
        </w:rPr>
        <w:t xml:space="preserve"> in</w:t>
      </w:r>
      <w:r w:rsidR="0072377E">
        <w:rPr>
          <w:rFonts w:ascii="Segoe UI" w:hAnsi="Segoe UI" w:cs="Segoe UI"/>
        </w:rPr>
        <w:t xml:space="preserve"> supported housing </w:t>
      </w:r>
      <w:r w:rsidR="00C829EF">
        <w:rPr>
          <w:rFonts w:ascii="Segoe UI" w:hAnsi="Segoe UI" w:cs="Segoe UI"/>
        </w:rPr>
        <w:t>and the extent to which this requires</w:t>
      </w:r>
      <w:r w:rsidR="0072377E">
        <w:rPr>
          <w:rFonts w:ascii="Segoe UI" w:hAnsi="Segoe UI" w:cs="Segoe UI"/>
        </w:rPr>
        <w:t xml:space="preserve"> a different approach to general needs housing.</w:t>
      </w:r>
    </w:p>
    <w:p w14:paraId="37596603" w14:textId="30357220" w:rsidR="00715952" w:rsidRPr="006622A9" w:rsidRDefault="00715952" w:rsidP="0071595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>How can we assist and support social landlords to work with their tenants to reduce tobacco use?</w:t>
      </w:r>
    </w:p>
    <w:p w14:paraId="53A4063C" w14:textId="4C91F67E" w:rsidR="00441DEE" w:rsidRDefault="00441DEE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Social landlords are seeking support to work with their tenants to reduce tobacco </w:t>
      </w:r>
      <w:r w:rsidR="00EF58D6" w:rsidRPr="006622A9">
        <w:rPr>
          <w:rFonts w:ascii="Segoe UI" w:hAnsi="Segoe UI" w:cs="Segoe UI"/>
        </w:rPr>
        <w:t>use</w:t>
      </w:r>
      <w:r w:rsidR="00FA658E" w:rsidRPr="006622A9">
        <w:rPr>
          <w:rFonts w:ascii="Segoe UI" w:hAnsi="Segoe UI" w:cs="Segoe UI"/>
        </w:rPr>
        <w:t xml:space="preserve"> in a variety of ways.</w:t>
      </w:r>
    </w:p>
    <w:p w14:paraId="16AA283A" w14:textId="48533DEF" w:rsidR="00155AA3" w:rsidRDefault="001E147C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>Some s</w:t>
      </w:r>
      <w:r w:rsidR="00AB3732">
        <w:rPr>
          <w:rFonts w:ascii="Segoe UI" w:hAnsi="Segoe UI" w:cs="Segoe UI"/>
        </w:rPr>
        <w:t>ocial landlord</w:t>
      </w:r>
      <w:r w:rsidR="00F92FE8">
        <w:rPr>
          <w:rFonts w:ascii="Segoe UI" w:hAnsi="Segoe UI" w:cs="Segoe UI"/>
        </w:rPr>
        <w:t>s</w:t>
      </w:r>
      <w:r w:rsidR="00AB3732">
        <w:rPr>
          <w:rFonts w:ascii="Segoe UI" w:hAnsi="Segoe UI" w:cs="Segoe UI"/>
        </w:rPr>
        <w:t xml:space="preserve"> need support to build partnerships with </w:t>
      </w:r>
      <w:r w:rsidR="00BC246A">
        <w:rPr>
          <w:rFonts w:ascii="Segoe UI" w:hAnsi="Segoe UI" w:cs="Segoe UI"/>
        </w:rPr>
        <w:t xml:space="preserve">local CCGs and other stakeholders to get this </w:t>
      </w:r>
      <w:r>
        <w:rPr>
          <w:rFonts w:ascii="Segoe UI" w:hAnsi="Segoe UI" w:cs="Segoe UI"/>
        </w:rPr>
        <w:t xml:space="preserve">agenda </w:t>
      </w:r>
      <w:r w:rsidR="00BC246A">
        <w:rPr>
          <w:rFonts w:ascii="Segoe UI" w:hAnsi="Segoe UI" w:cs="Segoe UI"/>
        </w:rPr>
        <w:t>off the ground</w:t>
      </w:r>
      <w:r w:rsidR="009317F0">
        <w:rPr>
          <w:rFonts w:ascii="Segoe UI" w:hAnsi="Segoe UI" w:cs="Segoe UI"/>
        </w:rPr>
        <w:t xml:space="preserve"> and explore funding options.</w:t>
      </w:r>
    </w:p>
    <w:p w14:paraId="0FFDA3D3" w14:textId="6B146DA6" w:rsidR="00BC246A" w:rsidRPr="006622A9" w:rsidRDefault="009317F0" w:rsidP="00715952">
      <w:pPr>
        <w:rPr>
          <w:rFonts w:ascii="Segoe UI" w:hAnsi="Segoe UI" w:cs="Segoe UI"/>
        </w:rPr>
      </w:pPr>
      <w:r>
        <w:rPr>
          <w:rFonts w:ascii="Segoe UI" w:hAnsi="Segoe UI" w:cs="Segoe UI"/>
        </w:rPr>
        <w:t>Social landlords are also seeking to learn how to make this wo</w:t>
      </w:r>
      <w:r w:rsidR="00C95435">
        <w:rPr>
          <w:rFonts w:ascii="Segoe UI" w:hAnsi="Segoe UI" w:cs="Segoe UI"/>
        </w:rPr>
        <w:t>rk practically and what the steps are they need to take to make it happen.</w:t>
      </w:r>
      <w:r w:rsidR="000D43BE">
        <w:rPr>
          <w:rFonts w:ascii="Segoe UI" w:hAnsi="Segoe UI" w:cs="Segoe UI"/>
        </w:rPr>
        <w:t xml:space="preserve"> It can feel like an overwhelming and risky task.</w:t>
      </w:r>
    </w:p>
    <w:p w14:paraId="1BBC5F49" w14:textId="3FBAC23B" w:rsidR="00FA658E" w:rsidRPr="006622A9" w:rsidRDefault="00FA658E" w:rsidP="0071595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Social landlords are seeking </w:t>
      </w:r>
      <w:r w:rsidR="00DF6562" w:rsidRPr="006622A9">
        <w:rPr>
          <w:rFonts w:ascii="Segoe UI" w:hAnsi="Segoe UI" w:cs="Segoe UI"/>
        </w:rPr>
        <w:t>more training and learning opportunities to better understand how to support their tenants</w:t>
      </w:r>
      <w:r w:rsidR="00EB049C">
        <w:rPr>
          <w:rFonts w:ascii="Segoe UI" w:hAnsi="Segoe UI" w:cs="Segoe UI"/>
        </w:rPr>
        <w:t xml:space="preserve"> to reduce smoking</w:t>
      </w:r>
      <w:r w:rsidR="00A17C37" w:rsidRPr="006622A9">
        <w:rPr>
          <w:rFonts w:ascii="Segoe UI" w:hAnsi="Segoe UI" w:cs="Segoe UI"/>
        </w:rPr>
        <w:t>.</w:t>
      </w:r>
      <w:r w:rsidR="006A56F5" w:rsidRPr="006622A9">
        <w:rPr>
          <w:rFonts w:ascii="Segoe UI" w:hAnsi="Segoe UI" w:cs="Segoe UI"/>
        </w:rPr>
        <w:t xml:space="preserve"> In particular in relation to, what support services </w:t>
      </w:r>
      <w:r w:rsidR="00EB049C">
        <w:rPr>
          <w:rFonts w:ascii="Segoe UI" w:hAnsi="Segoe UI" w:cs="Segoe UI"/>
        </w:rPr>
        <w:t>are available</w:t>
      </w:r>
      <w:r w:rsidR="006A56F5" w:rsidRPr="006622A9">
        <w:rPr>
          <w:rFonts w:ascii="Segoe UI" w:hAnsi="Segoe UI" w:cs="Segoe UI"/>
        </w:rPr>
        <w:t xml:space="preserve">, </w:t>
      </w:r>
      <w:r w:rsidR="008D26EE" w:rsidRPr="006622A9">
        <w:rPr>
          <w:rFonts w:ascii="Segoe UI" w:hAnsi="Segoe UI" w:cs="Segoe UI"/>
        </w:rPr>
        <w:t>what language to use</w:t>
      </w:r>
      <w:r w:rsidR="00241D38" w:rsidRPr="006622A9">
        <w:rPr>
          <w:rFonts w:ascii="Segoe UI" w:hAnsi="Segoe UI" w:cs="Segoe UI"/>
        </w:rPr>
        <w:t xml:space="preserve"> and</w:t>
      </w:r>
      <w:r w:rsidR="006A56F5" w:rsidRPr="006622A9">
        <w:rPr>
          <w:rFonts w:ascii="Segoe UI" w:hAnsi="Segoe UI" w:cs="Segoe UI"/>
        </w:rPr>
        <w:t xml:space="preserve"> </w:t>
      </w:r>
      <w:r w:rsidR="00064096" w:rsidRPr="006622A9">
        <w:rPr>
          <w:rFonts w:ascii="Segoe UI" w:hAnsi="Segoe UI" w:cs="Segoe UI"/>
        </w:rPr>
        <w:t>how to access funding</w:t>
      </w:r>
      <w:r w:rsidR="00351012" w:rsidRPr="006622A9">
        <w:rPr>
          <w:rFonts w:ascii="Segoe UI" w:hAnsi="Segoe UI" w:cs="Segoe UI"/>
        </w:rPr>
        <w:t xml:space="preserve"> for pilot projects</w:t>
      </w:r>
      <w:r w:rsidR="00064096" w:rsidRPr="006622A9">
        <w:rPr>
          <w:rFonts w:ascii="Segoe UI" w:hAnsi="Segoe UI" w:cs="Segoe UI"/>
        </w:rPr>
        <w:t>.</w:t>
      </w:r>
    </w:p>
    <w:p w14:paraId="3424CB41" w14:textId="2B16D66A" w:rsidR="00351012" w:rsidRPr="006622A9" w:rsidRDefault="00CA6823" w:rsidP="0035101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In some </w:t>
      </w:r>
      <w:r w:rsidR="00351012" w:rsidRPr="006622A9">
        <w:rPr>
          <w:rFonts w:ascii="Segoe UI" w:hAnsi="Segoe UI" w:cs="Segoe UI"/>
        </w:rPr>
        <w:t>cases,</w:t>
      </w:r>
      <w:r w:rsidRPr="006622A9">
        <w:rPr>
          <w:rFonts w:ascii="Segoe UI" w:hAnsi="Segoe UI" w:cs="Segoe UI"/>
        </w:rPr>
        <w:t xml:space="preserve"> social landlords need to be incentivised to taking part in </w:t>
      </w:r>
      <w:r w:rsidR="008D26EE" w:rsidRPr="006622A9">
        <w:rPr>
          <w:rFonts w:ascii="Segoe UI" w:hAnsi="Segoe UI" w:cs="Segoe UI"/>
        </w:rPr>
        <w:t>helping their residents to smoke.</w:t>
      </w:r>
      <w:r w:rsidR="00351012" w:rsidRPr="006622A9">
        <w:rPr>
          <w:rFonts w:ascii="Segoe UI" w:hAnsi="Segoe UI" w:cs="Segoe UI"/>
        </w:rPr>
        <w:t xml:space="preserve"> Social landlords are seeking better evidence of the cost benefits and health and wellbeing benefits for the residents should they reduce or quit smoking. </w:t>
      </w:r>
      <w:r w:rsidR="00BA438F">
        <w:rPr>
          <w:rFonts w:ascii="Segoe UI" w:hAnsi="Segoe UI" w:cs="Segoe UI"/>
        </w:rPr>
        <w:t xml:space="preserve">There is </w:t>
      </w:r>
      <w:r w:rsidR="00EB049C">
        <w:rPr>
          <w:rFonts w:ascii="Segoe UI" w:hAnsi="Segoe UI" w:cs="Segoe UI"/>
        </w:rPr>
        <w:t xml:space="preserve">also </w:t>
      </w:r>
      <w:r w:rsidR="00BA438F">
        <w:rPr>
          <w:rFonts w:ascii="Segoe UI" w:hAnsi="Segoe UI" w:cs="Segoe UI"/>
        </w:rPr>
        <w:t>a need to understand the business case from an organisational perspective</w:t>
      </w:r>
      <w:r w:rsidR="00C05F9F">
        <w:rPr>
          <w:rFonts w:ascii="Segoe UI" w:hAnsi="Segoe UI" w:cs="Segoe UI"/>
        </w:rPr>
        <w:t xml:space="preserve"> where senior managers or board members might need to be persuaded.</w:t>
      </w:r>
    </w:p>
    <w:p w14:paraId="67C03A4B" w14:textId="5C52FC7E" w:rsidR="0079195D" w:rsidRDefault="00351012">
      <w:pPr>
        <w:rPr>
          <w:rFonts w:ascii="Segoe UI" w:hAnsi="Segoe UI" w:cs="Segoe UI"/>
        </w:rPr>
      </w:pPr>
      <w:r w:rsidRPr="006622A9">
        <w:rPr>
          <w:rFonts w:ascii="Segoe UI" w:hAnsi="Segoe UI" w:cs="Segoe UI"/>
        </w:rPr>
        <w:t xml:space="preserve">Social landlords might benefit from </w:t>
      </w:r>
      <w:r w:rsidR="00E270FB" w:rsidRPr="006622A9">
        <w:rPr>
          <w:rFonts w:ascii="Segoe UI" w:hAnsi="Segoe UI" w:cs="Segoe UI"/>
        </w:rPr>
        <w:t>a national pledge</w:t>
      </w:r>
      <w:r w:rsidR="00C05F9F">
        <w:rPr>
          <w:rFonts w:ascii="Segoe UI" w:hAnsi="Segoe UI" w:cs="Segoe UI"/>
        </w:rPr>
        <w:t xml:space="preserve"> to reduce smoking a</w:t>
      </w:r>
      <w:r w:rsidR="008424CD">
        <w:rPr>
          <w:rFonts w:ascii="Segoe UI" w:hAnsi="Segoe UI" w:cs="Segoe UI"/>
        </w:rPr>
        <w:t>mongst their tenants</w:t>
      </w:r>
      <w:r w:rsidR="00E270FB" w:rsidRPr="006622A9">
        <w:rPr>
          <w:rFonts w:ascii="Segoe UI" w:hAnsi="Segoe UI" w:cs="Segoe UI"/>
        </w:rPr>
        <w:t xml:space="preserve"> that would create a united front amongst providers</w:t>
      </w:r>
      <w:r w:rsidR="004477D4">
        <w:rPr>
          <w:rFonts w:ascii="Segoe UI" w:hAnsi="Segoe UI" w:cs="Segoe UI"/>
        </w:rPr>
        <w:t xml:space="preserve"> and enable them to share best practice.</w:t>
      </w:r>
    </w:p>
    <w:p w14:paraId="5AA3C07C" w14:textId="0FF17AEB" w:rsidR="007965FA" w:rsidRPr="006622A9" w:rsidRDefault="00E8232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Social landlords would like to understand how they can market this agenda to customers </w:t>
      </w:r>
      <w:r w:rsidR="00987612">
        <w:rPr>
          <w:rFonts w:ascii="Segoe UI" w:hAnsi="Segoe UI" w:cs="Segoe UI"/>
        </w:rPr>
        <w:t xml:space="preserve">and the type of messaging that is the most effective. </w:t>
      </w:r>
      <w:r w:rsidR="009E3DC1">
        <w:rPr>
          <w:rFonts w:ascii="Segoe UI" w:hAnsi="Segoe UI" w:cs="Segoe UI"/>
        </w:rPr>
        <w:t>Where providers might not have peer navigators in place, they are seeking help to establish this.</w:t>
      </w:r>
    </w:p>
    <w:sectPr w:rsidR="007965FA" w:rsidRPr="0066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2400" w14:textId="77777777" w:rsidR="00BA3168" w:rsidRDefault="00BA3168" w:rsidP="00FF21ED">
      <w:pPr>
        <w:spacing w:after="0" w:line="240" w:lineRule="auto"/>
      </w:pPr>
      <w:r>
        <w:separator/>
      </w:r>
    </w:p>
  </w:endnote>
  <w:endnote w:type="continuationSeparator" w:id="0">
    <w:p w14:paraId="1543164F" w14:textId="77777777" w:rsidR="00BA3168" w:rsidRDefault="00BA3168" w:rsidP="00FF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Book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6921" w14:textId="77777777" w:rsidR="00BA3168" w:rsidRDefault="00BA3168" w:rsidP="00FF21ED">
      <w:pPr>
        <w:spacing w:after="0" w:line="240" w:lineRule="auto"/>
      </w:pPr>
      <w:r>
        <w:separator/>
      </w:r>
    </w:p>
  </w:footnote>
  <w:footnote w:type="continuationSeparator" w:id="0">
    <w:p w14:paraId="234123F9" w14:textId="77777777" w:rsidR="00BA3168" w:rsidRDefault="00BA3168" w:rsidP="00FF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313"/>
    <w:multiLevelType w:val="hybridMultilevel"/>
    <w:tmpl w:val="12825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6AEB"/>
    <w:multiLevelType w:val="hybridMultilevel"/>
    <w:tmpl w:val="3E5C99EC"/>
    <w:lvl w:ilvl="0" w:tplc="73888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640D"/>
    <w:multiLevelType w:val="multilevel"/>
    <w:tmpl w:val="19C01A24"/>
    <w:lvl w:ilvl="0">
      <w:numFmt w:val="bullet"/>
      <w:lvlText w:val="•"/>
      <w:lvlJc w:val="left"/>
      <w:pPr>
        <w:ind w:left="1169" w:hanging="460"/>
      </w:pPr>
      <w:rPr>
        <w:rFonts w:ascii="Whitney-Book" w:eastAsiaTheme="minorHAnsi" w:hAnsi="Whitney-Book" w:cs="Times New Roman" w:hint="default"/>
      </w:rPr>
    </w:lvl>
    <w:lvl w:ilvl="1">
      <w:start w:val="1"/>
      <w:numFmt w:val="decimalZero"/>
      <w:lvlText w:val="%1.%2."/>
      <w:lvlJc w:val="left"/>
      <w:pPr>
        <w:ind w:left="1169" w:hanging="4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1161B4E"/>
    <w:multiLevelType w:val="hybridMultilevel"/>
    <w:tmpl w:val="7DA6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C3B31"/>
    <w:multiLevelType w:val="multilevel"/>
    <w:tmpl w:val="29341BB8"/>
    <w:lvl w:ilvl="0">
      <w:start w:val="1"/>
      <w:numFmt w:val="decimal"/>
      <w:pStyle w:val="Heading1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60" w:hanging="4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2"/>
    <w:rsid w:val="00020E3F"/>
    <w:rsid w:val="00037CBF"/>
    <w:rsid w:val="0005079E"/>
    <w:rsid w:val="00060635"/>
    <w:rsid w:val="00062946"/>
    <w:rsid w:val="00064096"/>
    <w:rsid w:val="0007373D"/>
    <w:rsid w:val="000A0F2E"/>
    <w:rsid w:val="000A3FAE"/>
    <w:rsid w:val="000B14D5"/>
    <w:rsid w:val="000D3254"/>
    <w:rsid w:val="000D43BE"/>
    <w:rsid w:val="000E5DD1"/>
    <w:rsid w:val="000F5EB4"/>
    <w:rsid w:val="00131A9F"/>
    <w:rsid w:val="00132C30"/>
    <w:rsid w:val="00134FF1"/>
    <w:rsid w:val="00155AA3"/>
    <w:rsid w:val="00174466"/>
    <w:rsid w:val="00182954"/>
    <w:rsid w:val="001B555B"/>
    <w:rsid w:val="001E147C"/>
    <w:rsid w:val="001E4775"/>
    <w:rsid w:val="001E5D3F"/>
    <w:rsid w:val="001F27AD"/>
    <w:rsid w:val="00241D38"/>
    <w:rsid w:val="0027293E"/>
    <w:rsid w:val="002929F8"/>
    <w:rsid w:val="002A2F40"/>
    <w:rsid w:val="002A6EA0"/>
    <w:rsid w:val="002B6CC4"/>
    <w:rsid w:val="002C312A"/>
    <w:rsid w:val="002C47DA"/>
    <w:rsid w:val="002D11F6"/>
    <w:rsid w:val="002D7242"/>
    <w:rsid w:val="002F6269"/>
    <w:rsid w:val="0031411C"/>
    <w:rsid w:val="00351012"/>
    <w:rsid w:val="00390C39"/>
    <w:rsid w:val="003B0B76"/>
    <w:rsid w:val="003D72E1"/>
    <w:rsid w:val="00407B2F"/>
    <w:rsid w:val="004263A9"/>
    <w:rsid w:val="004341E2"/>
    <w:rsid w:val="00441DEE"/>
    <w:rsid w:val="004477D4"/>
    <w:rsid w:val="00451E3B"/>
    <w:rsid w:val="00500082"/>
    <w:rsid w:val="00553C71"/>
    <w:rsid w:val="005900A8"/>
    <w:rsid w:val="005B3E5F"/>
    <w:rsid w:val="005B46D7"/>
    <w:rsid w:val="005B6D12"/>
    <w:rsid w:val="005C70D3"/>
    <w:rsid w:val="005D3B81"/>
    <w:rsid w:val="005E0174"/>
    <w:rsid w:val="005E030D"/>
    <w:rsid w:val="005E5820"/>
    <w:rsid w:val="00625149"/>
    <w:rsid w:val="00626F0F"/>
    <w:rsid w:val="006622A9"/>
    <w:rsid w:val="006637F1"/>
    <w:rsid w:val="00666C2B"/>
    <w:rsid w:val="00684EFA"/>
    <w:rsid w:val="006864A9"/>
    <w:rsid w:val="00687630"/>
    <w:rsid w:val="006A10EB"/>
    <w:rsid w:val="006A56F5"/>
    <w:rsid w:val="006B226F"/>
    <w:rsid w:val="006D7F49"/>
    <w:rsid w:val="006F3399"/>
    <w:rsid w:val="006F6AC4"/>
    <w:rsid w:val="00715952"/>
    <w:rsid w:val="0072377E"/>
    <w:rsid w:val="007274E7"/>
    <w:rsid w:val="00736CB6"/>
    <w:rsid w:val="0074501E"/>
    <w:rsid w:val="00773CD5"/>
    <w:rsid w:val="0079195D"/>
    <w:rsid w:val="007958EB"/>
    <w:rsid w:val="007965FA"/>
    <w:rsid w:val="007B1AB8"/>
    <w:rsid w:val="007E4DDE"/>
    <w:rsid w:val="007E5463"/>
    <w:rsid w:val="007F1824"/>
    <w:rsid w:val="008316B9"/>
    <w:rsid w:val="008336A6"/>
    <w:rsid w:val="008424CD"/>
    <w:rsid w:val="00851894"/>
    <w:rsid w:val="008559D8"/>
    <w:rsid w:val="008805D8"/>
    <w:rsid w:val="0089136A"/>
    <w:rsid w:val="00891E5E"/>
    <w:rsid w:val="00897DDD"/>
    <w:rsid w:val="008A4C4C"/>
    <w:rsid w:val="008C053B"/>
    <w:rsid w:val="008D26EE"/>
    <w:rsid w:val="008F5CD0"/>
    <w:rsid w:val="00901888"/>
    <w:rsid w:val="009129BC"/>
    <w:rsid w:val="0091723B"/>
    <w:rsid w:val="0092407E"/>
    <w:rsid w:val="009317F0"/>
    <w:rsid w:val="009572D2"/>
    <w:rsid w:val="00972919"/>
    <w:rsid w:val="009807B6"/>
    <w:rsid w:val="00983E7E"/>
    <w:rsid w:val="009864A3"/>
    <w:rsid w:val="00987612"/>
    <w:rsid w:val="009A1A07"/>
    <w:rsid w:val="009E3DC1"/>
    <w:rsid w:val="009F67F6"/>
    <w:rsid w:val="00A1515C"/>
    <w:rsid w:val="00A17C37"/>
    <w:rsid w:val="00A362C7"/>
    <w:rsid w:val="00A50CB6"/>
    <w:rsid w:val="00A77E3F"/>
    <w:rsid w:val="00AB3732"/>
    <w:rsid w:val="00AC3D88"/>
    <w:rsid w:val="00AE0E58"/>
    <w:rsid w:val="00AF5695"/>
    <w:rsid w:val="00B07D70"/>
    <w:rsid w:val="00B24704"/>
    <w:rsid w:val="00B374F6"/>
    <w:rsid w:val="00B540EB"/>
    <w:rsid w:val="00B620A5"/>
    <w:rsid w:val="00B670B3"/>
    <w:rsid w:val="00BA3168"/>
    <w:rsid w:val="00BA438F"/>
    <w:rsid w:val="00BA64BD"/>
    <w:rsid w:val="00BB283F"/>
    <w:rsid w:val="00BC246A"/>
    <w:rsid w:val="00BE03CA"/>
    <w:rsid w:val="00BE6A74"/>
    <w:rsid w:val="00BF20A9"/>
    <w:rsid w:val="00C05F9F"/>
    <w:rsid w:val="00C10571"/>
    <w:rsid w:val="00C13025"/>
    <w:rsid w:val="00C26E06"/>
    <w:rsid w:val="00C41780"/>
    <w:rsid w:val="00C41D35"/>
    <w:rsid w:val="00C54BA5"/>
    <w:rsid w:val="00C71658"/>
    <w:rsid w:val="00C7246F"/>
    <w:rsid w:val="00C81A3F"/>
    <w:rsid w:val="00C829EF"/>
    <w:rsid w:val="00C8307B"/>
    <w:rsid w:val="00C837A9"/>
    <w:rsid w:val="00C95435"/>
    <w:rsid w:val="00CA6823"/>
    <w:rsid w:val="00CC5F34"/>
    <w:rsid w:val="00CF1AC6"/>
    <w:rsid w:val="00CF56D6"/>
    <w:rsid w:val="00D02132"/>
    <w:rsid w:val="00D24119"/>
    <w:rsid w:val="00D31773"/>
    <w:rsid w:val="00D44BB9"/>
    <w:rsid w:val="00D64B4A"/>
    <w:rsid w:val="00D8641C"/>
    <w:rsid w:val="00DC09A7"/>
    <w:rsid w:val="00DD7F95"/>
    <w:rsid w:val="00DF0832"/>
    <w:rsid w:val="00DF41D7"/>
    <w:rsid w:val="00DF4378"/>
    <w:rsid w:val="00DF6562"/>
    <w:rsid w:val="00E270FB"/>
    <w:rsid w:val="00E31941"/>
    <w:rsid w:val="00E51D8D"/>
    <w:rsid w:val="00E555CD"/>
    <w:rsid w:val="00E82325"/>
    <w:rsid w:val="00E9485C"/>
    <w:rsid w:val="00EA5935"/>
    <w:rsid w:val="00EB049C"/>
    <w:rsid w:val="00EB679E"/>
    <w:rsid w:val="00EE0135"/>
    <w:rsid w:val="00EF466A"/>
    <w:rsid w:val="00EF58D6"/>
    <w:rsid w:val="00F33510"/>
    <w:rsid w:val="00F37E53"/>
    <w:rsid w:val="00F4550C"/>
    <w:rsid w:val="00F76632"/>
    <w:rsid w:val="00F77FEA"/>
    <w:rsid w:val="00F8782B"/>
    <w:rsid w:val="00F92FE8"/>
    <w:rsid w:val="00FA2863"/>
    <w:rsid w:val="00FA658E"/>
    <w:rsid w:val="00FA7B74"/>
    <w:rsid w:val="00FF21ED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93CB"/>
  <w15:chartTrackingRefBased/>
  <w15:docId w15:val="{DE223023-1F4A-41F6-A2EA-C113EE50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1ED"/>
    <w:pPr>
      <w:keepNext/>
      <w:keepLines/>
      <w:numPr>
        <w:numId w:val="3"/>
      </w:numPr>
      <w:pBdr>
        <w:left w:val="single" w:sz="18" w:space="4" w:color="ACB9CA"/>
      </w:pBdr>
      <w:spacing w:before="240" w:after="240"/>
      <w:outlineLvl w:val="0"/>
    </w:pPr>
    <w:rPr>
      <w:rFonts w:ascii="Segoe UI" w:eastAsiaTheme="majorEastAsia" w:hAnsi="Segoe UI" w:cs="Segoe UI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21ED"/>
    <w:rPr>
      <w:rFonts w:ascii="Segoe UI" w:eastAsiaTheme="majorEastAsia" w:hAnsi="Segoe UI" w:cs="Segoe UI"/>
      <w:sz w:val="40"/>
      <w:szCs w:val="24"/>
    </w:rPr>
  </w:style>
  <w:style w:type="paragraph" w:styleId="TOC1">
    <w:name w:val="toc 1"/>
    <w:basedOn w:val="Normal"/>
    <w:next w:val="Normal"/>
    <w:autoRedefine/>
    <w:uiPriority w:val="39"/>
    <w:rsid w:val="00FF21ED"/>
    <w:pPr>
      <w:tabs>
        <w:tab w:val="left" w:pos="440"/>
        <w:tab w:val="right" w:leader="dot" w:pos="9016"/>
      </w:tabs>
      <w:spacing w:after="100"/>
      <w:ind w:left="142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FF21ED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FF21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1E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FF21E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FF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2CA70CA811A4C9F18DA57CEC52A38" ma:contentTypeVersion="13" ma:contentTypeDescription="Create a new document." ma:contentTypeScope="" ma:versionID="4a6a51902ae3204be2603a0db00fd907">
  <xsd:schema xmlns:xsd="http://www.w3.org/2001/XMLSchema" xmlns:xs="http://www.w3.org/2001/XMLSchema" xmlns:p="http://schemas.microsoft.com/office/2006/metadata/properties" xmlns:ns2="3e6cab67-71e1-43fe-bf44-962cf23444a2" xmlns:ns3="22d97ed3-d2a5-4c55-aaa9-0f8d366c11e6" targetNamespace="http://schemas.microsoft.com/office/2006/metadata/properties" ma:root="true" ma:fieldsID="6c441b3f71288614e89039db835e9aa7" ns2:_="" ns3:_="">
    <xsd:import namespace="3e6cab67-71e1-43fe-bf44-962cf23444a2"/>
    <xsd:import namespace="22d97ed3-d2a5-4c55-aaa9-0f8d366c1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ab67-71e1-43fe-bf44-962cf2344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7ed3-d2a5-4c55-aaa9-0f8d366c1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6B061-3843-46C2-ADFD-177BBEF04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31F46-ABE7-4D22-9E5F-0E0AAE449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2A5EE-FBAC-4FC3-BC52-7D02590B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cab67-71e1-43fe-bf44-962cf23444a2"/>
    <ds:schemaRef ds:uri="22d97ed3-d2a5-4c55-aaa9-0f8d366c1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Beech</dc:creator>
  <cp:keywords/>
  <dc:description/>
  <cp:lastModifiedBy>Lois Beech</cp:lastModifiedBy>
  <cp:revision>192</cp:revision>
  <dcterms:created xsi:type="dcterms:W3CDTF">2021-08-09T14:51:00Z</dcterms:created>
  <dcterms:modified xsi:type="dcterms:W3CDTF">2021-08-12T14:35:00Z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0x01010037D2CA70CA811A4C9F18DA57CEC52A38</vt:lpwstr>
  </property>
</Properties>
</file>