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D25FC" w14:textId="77777777" w:rsidR="00E92162" w:rsidRDefault="00E92162" w:rsidP="00F24D79">
      <w:pPr>
        <w:spacing w:line="240" w:lineRule="auto"/>
        <w:contextualSpacing/>
        <w:rPr>
          <w:rFonts w:ascii="Arial" w:hAnsi="Arial" w:cs="Arial"/>
        </w:rPr>
      </w:pPr>
    </w:p>
    <w:p w14:paraId="3EC83022" w14:textId="77777777" w:rsidR="000266A5" w:rsidRDefault="000266A5" w:rsidP="00FD4BF2">
      <w:pPr>
        <w:rPr>
          <w:rFonts w:ascii="Arial" w:hAnsi="Arial" w:cs="Arial"/>
          <w:b/>
          <w:bCs/>
        </w:rPr>
      </w:pPr>
    </w:p>
    <w:p w14:paraId="60D61B70" w14:textId="039DC018" w:rsidR="00294FB0" w:rsidRPr="009E1DBD" w:rsidRDefault="004325B2" w:rsidP="00FD4BF2">
      <w:pPr>
        <w:rPr>
          <w:rFonts w:ascii="Arial" w:hAnsi="Arial" w:cs="Arial"/>
          <w:b/>
          <w:bCs/>
        </w:rPr>
      </w:pPr>
      <w:r w:rsidRPr="009E1DBD">
        <w:rPr>
          <w:rFonts w:ascii="Arial" w:hAnsi="Arial" w:cs="Arial"/>
          <w:b/>
          <w:bCs/>
        </w:rPr>
        <w:t xml:space="preserve">Housing and Ageing Alliance </w:t>
      </w:r>
      <w:r w:rsidR="009E1DBD" w:rsidRPr="009E1DBD">
        <w:rPr>
          <w:rFonts w:ascii="Arial" w:hAnsi="Arial" w:cs="Arial"/>
          <w:b/>
          <w:bCs/>
        </w:rPr>
        <w:t>representation</w:t>
      </w:r>
      <w:r w:rsidRPr="009E1DBD">
        <w:rPr>
          <w:rFonts w:ascii="Arial" w:hAnsi="Arial" w:cs="Arial"/>
          <w:b/>
          <w:bCs/>
        </w:rPr>
        <w:t xml:space="preserve"> to </w:t>
      </w:r>
      <w:r w:rsidR="00FE7626">
        <w:rPr>
          <w:rFonts w:ascii="Arial" w:hAnsi="Arial" w:cs="Arial"/>
          <w:b/>
          <w:bCs/>
        </w:rPr>
        <w:t xml:space="preserve">the </w:t>
      </w:r>
      <w:r w:rsidR="009E1DBD" w:rsidRPr="009E1DBD">
        <w:rPr>
          <w:rFonts w:ascii="Arial" w:hAnsi="Arial" w:cs="Arial"/>
          <w:b/>
          <w:bCs/>
        </w:rPr>
        <w:t xml:space="preserve">2025 </w:t>
      </w:r>
      <w:r w:rsidRPr="009E1DBD">
        <w:rPr>
          <w:rFonts w:ascii="Arial" w:hAnsi="Arial" w:cs="Arial"/>
          <w:b/>
          <w:bCs/>
        </w:rPr>
        <w:t>Spending Review</w:t>
      </w:r>
    </w:p>
    <w:p w14:paraId="39C3E132" w14:textId="77777777" w:rsidR="00016F1A" w:rsidRDefault="00016F1A" w:rsidP="002824BA">
      <w:pPr>
        <w:rPr>
          <w:rFonts w:ascii="Arial" w:hAnsi="Arial" w:cs="Arial"/>
          <w:b/>
          <w:bCs/>
        </w:rPr>
      </w:pPr>
    </w:p>
    <w:p w14:paraId="2196A123" w14:textId="20EB53A8" w:rsidR="003B36F9" w:rsidRPr="00915F4D" w:rsidRDefault="003B36F9" w:rsidP="002824BA">
      <w:pPr>
        <w:rPr>
          <w:rFonts w:ascii="Arial" w:hAnsi="Arial" w:cs="Arial"/>
          <w:b/>
          <w:bCs/>
        </w:rPr>
      </w:pPr>
      <w:r w:rsidRPr="00915F4D">
        <w:rPr>
          <w:rFonts w:ascii="Arial" w:hAnsi="Arial" w:cs="Arial"/>
          <w:b/>
          <w:bCs/>
        </w:rPr>
        <w:t>Who we are</w:t>
      </w:r>
    </w:p>
    <w:p w14:paraId="2B2666F0" w14:textId="72778E68" w:rsidR="00F765E6" w:rsidRDefault="00915F4D" w:rsidP="007B7DD1">
      <w:pPr>
        <w:rPr>
          <w:rFonts w:ascii="Arial" w:hAnsi="Arial" w:cs="Arial"/>
        </w:rPr>
      </w:pPr>
      <w:r w:rsidRPr="00915F4D">
        <w:rPr>
          <w:rFonts w:ascii="Arial" w:hAnsi="Arial" w:cs="Arial"/>
        </w:rPr>
        <w:t xml:space="preserve">The Housing and Ageing Alliance </w:t>
      </w:r>
      <w:r w:rsidR="000B3322">
        <w:rPr>
          <w:rFonts w:ascii="Arial" w:hAnsi="Arial" w:cs="Arial"/>
        </w:rPr>
        <w:t xml:space="preserve">(HAA) </w:t>
      </w:r>
      <w:r w:rsidRPr="00915F4D">
        <w:rPr>
          <w:rFonts w:ascii="Arial" w:hAnsi="Arial" w:cs="Arial"/>
        </w:rPr>
        <w:t>is made up of a broad spectrum of people from local and national organisations working together with a single objective; to bring about improvements to the housing and living conditions of older people.</w:t>
      </w:r>
      <w:r w:rsidR="000B3322">
        <w:rPr>
          <w:rFonts w:ascii="Arial" w:hAnsi="Arial" w:cs="Arial"/>
        </w:rPr>
        <w:t xml:space="preserve"> </w:t>
      </w:r>
      <w:r w:rsidR="000266A5">
        <w:rPr>
          <w:rFonts w:ascii="Arial" w:hAnsi="Arial" w:cs="Arial"/>
        </w:rPr>
        <w:t>We</w:t>
      </w:r>
      <w:r w:rsidRPr="00915F4D">
        <w:rPr>
          <w:rFonts w:ascii="Arial" w:hAnsi="Arial" w:cs="Arial"/>
        </w:rPr>
        <w:t xml:space="preserve"> believe that homes, communities and housing related services should be planned and designed in ways that enable choice, control, inclusion and independence in later life.</w:t>
      </w:r>
      <w:r w:rsidR="007B7DD1">
        <w:rPr>
          <w:rFonts w:ascii="Arial" w:hAnsi="Arial" w:cs="Arial"/>
        </w:rPr>
        <w:t xml:space="preserve"> </w:t>
      </w:r>
    </w:p>
    <w:p w14:paraId="7220F6B6" w14:textId="4794F04C" w:rsidR="00D06F2B" w:rsidRDefault="007B7DD1" w:rsidP="002824BA">
      <w:pPr>
        <w:rPr>
          <w:rFonts w:ascii="Arial" w:hAnsi="Arial" w:cs="Arial"/>
        </w:rPr>
      </w:pPr>
      <w:r>
        <w:rPr>
          <w:rFonts w:ascii="Arial" w:hAnsi="Arial" w:cs="Arial"/>
        </w:rPr>
        <w:t xml:space="preserve">Members include </w:t>
      </w:r>
      <w:r w:rsidRPr="006C2E28">
        <w:rPr>
          <w:rFonts w:ascii="Arial" w:hAnsi="Arial" w:cs="Arial"/>
        </w:rPr>
        <w:t xml:space="preserve">representatives from </w:t>
      </w:r>
      <w:r>
        <w:rPr>
          <w:rFonts w:ascii="Arial" w:hAnsi="Arial" w:cs="Arial"/>
        </w:rPr>
        <w:t xml:space="preserve">organisations including </w:t>
      </w:r>
      <w:r w:rsidRPr="006C2E28">
        <w:rPr>
          <w:rFonts w:ascii="Arial" w:hAnsi="Arial" w:cs="Arial"/>
        </w:rPr>
        <w:t>Age UK</w:t>
      </w:r>
      <w:r>
        <w:rPr>
          <w:rFonts w:ascii="Arial" w:hAnsi="Arial" w:cs="Arial"/>
        </w:rPr>
        <w:t>,</w:t>
      </w:r>
      <w:r w:rsidRPr="006C2E28">
        <w:rPr>
          <w:rFonts w:ascii="Arial" w:hAnsi="Arial" w:cs="Arial"/>
        </w:rPr>
        <w:t xml:space="preserve"> the Centre for Ageing Better, Chartered Institute of Housing, National Housing Federation, Associated Retirement Community Operators and specialist providers in the social</w:t>
      </w:r>
      <w:r>
        <w:rPr>
          <w:rFonts w:ascii="Arial" w:hAnsi="Arial" w:cs="Arial"/>
        </w:rPr>
        <w:t>, charity</w:t>
      </w:r>
      <w:r w:rsidRPr="006C2E28">
        <w:rPr>
          <w:rFonts w:ascii="Arial" w:hAnsi="Arial" w:cs="Arial"/>
        </w:rPr>
        <w:t xml:space="preserve"> and private </w:t>
      </w:r>
      <w:r>
        <w:rPr>
          <w:rFonts w:ascii="Arial" w:hAnsi="Arial" w:cs="Arial"/>
        </w:rPr>
        <w:t>sectors.</w:t>
      </w:r>
      <w:r w:rsidR="006818E8">
        <w:rPr>
          <w:rFonts w:ascii="Arial" w:hAnsi="Arial" w:cs="Arial"/>
        </w:rPr>
        <w:t xml:space="preserve"> </w:t>
      </w:r>
      <w:r w:rsidR="00897F8A" w:rsidRPr="00897F8A">
        <w:rPr>
          <w:rFonts w:ascii="Arial" w:hAnsi="Arial" w:cs="Arial"/>
        </w:rPr>
        <w:t xml:space="preserve">Our </w:t>
      </w:r>
      <w:hyperlink r:id="rId7" w:history="1">
        <w:r w:rsidR="00897F8A" w:rsidRPr="00074816">
          <w:rPr>
            <w:rStyle w:val="Hyperlink"/>
            <w:rFonts w:ascii="Arial" w:hAnsi="Arial" w:cs="Arial"/>
          </w:rPr>
          <w:t>15</w:t>
        </w:r>
        <w:r w:rsidR="00A13A30" w:rsidRPr="00074816">
          <w:rPr>
            <w:rStyle w:val="Hyperlink"/>
            <w:rFonts w:ascii="Arial" w:hAnsi="Arial" w:cs="Arial"/>
          </w:rPr>
          <w:t>-</w:t>
        </w:r>
        <w:r w:rsidR="00897F8A" w:rsidRPr="00074816">
          <w:rPr>
            <w:rStyle w:val="Hyperlink"/>
            <w:rFonts w:ascii="Arial" w:hAnsi="Arial" w:cs="Arial"/>
          </w:rPr>
          <w:t>point plan</w:t>
        </w:r>
      </w:hyperlink>
      <w:r w:rsidR="00897F8A" w:rsidRPr="00897F8A">
        <w:rPr>
          <w:rFonts w:ascii="Arial" w:hAnsi="Arial" w:cs="Arial"/>
        </w:rPr>
        <w:t xml:space="preserve"> sets</w:t>
      </w:r>
      <w:r w:rsidR="00D925BF">
        <w:rPr>
          <w:rFonts w:ascii="Arial" w:hAnsi="Arial" w:cs="Arial"/>
        </w:rPr>
        <w:t xml:space="preserve"> out</w:t>
      </w:r>
      <w:r w:rsidR="00897F8A" w:rsidRPr="00897F8A">
        <w:rPr>
          <w:rFonts w:ascii="Arial" w:hAnsi="Arial" w:cs="Arial"/>
        </w:rPr>
        <w:t xml:space="preserve"> our manifesto for creating the homes we want to grow old in.</w:t>
      </w:r>
    </w:p>
    <w:p w14:paraId="1526C84A" w14:textId="100B58BD" w:rsidR="005E68EA" w:rsidRPr="000A0FDE" w:rsidRDefault="005E68EA" w:rsidP="005E68EA">
      <w:pPr>
        <w:rPr>
          <w:rFonts w:ascii="Arial" w:hAnsi="Arial" w:cs="Arial"/>
          <w:b/>
          <w:bCs/>
        </w:rPr>
      </w:pPr>
      <w:r w:rsidRPr="005E68EA">
        <w:rPr>
          <w:rFonts w:ascii="Arial" w:hAnsi="Arial" w:cs="Arial"/>
          <w:b/>
          <w:bCs/>
        </w:rPr>
        <w:t>In summary</w:t>
      </w:r>
      <w:r>
        <w:rPr>
          <w:rFonts w:ascii="Arial" w:hAnsi="Arial" w:cs="Arial"/>
          <w:b/>
          <w:bCs/>
        </w:rPr>
        <w:t xml:space="preserve">: </w:t>
      </w:r>
      <w:r w:rsidRPr="005E68EA">
        <w:rPr>
          <w:rFonts w:ascii="Arial" w:hAnsi="Arial" w:cs="Arial"/>
          <w:b/>
          <w:bCs/>
        </w:rPr>
        <w:t>Better housing for older people benefits all</w:t>
      </w:r>
      <w:r w:rsidR="005C5EB8">
        <w:rPr>
          <w:rFonts w:ascii="Arial" w:hAnsi="Arial" w:cs="Arial"/>
          <w:b/>
          <w:bCs/>
        </w:rPr>
        <w:t xml:space="preserve">: </w:t>
      </w:r>
      <w:r w:rsidR="000A0FDE">
        <w:rPr>
          <w:rFonts w:ascii="Arial" w:hAnsi="Arial" w:cs="Arial"/>
          <w:b/>
          <w:bCs/>
        </w:rPr>
        <w:t>r</w:t>
      </w:r>
      <w:r w:rsidR="000934D0">
        <w:rPr>
          <w:rFonts w:ascii="Arial" w:hAnsi="Arial" w:cs="Arial"/>
          <w:b/>
          <w:bCs/>
        </w:rPr>
        <w:t xml:space="preserve">aising </w:t>
      </w:r>
      <w:r w:rsidR="005C5EB8">
        <w:rPr>
          <w:rFonts w:ascii="Arial" w:hAnsi="Arial" w:cs="Arial"/>
          <w:b/>
          <w:bCs/>
        </w:rPr>
        <w:t>living standards</w:t>
      </w:r>
      <w:r w:rsidR="000934D0">
        <w:rPr>
          <w:rFonts w:ascii="Arial" w:hAnsi="Arial" w:cs="Arial"/>
          <w:b/>
          <w:bCs/>
        </w:rPr>
        <w:t xml:space="preserve"> and </w:t>
      </w:r>
      <w:r w:rsidR="000934D0" w:rsidRPr="000934D0">
        <w:rPr>
          <w:rFonts w:ascii="Arial" w:hAnsi="Arial" w:cs="Arial"/>
          <w:b/>
          <w:bCs/>
        </w:rPr>
        <w:t>productivity</w:t>
      </w:r>
      <w:r w:rsidR="005C5EB8" w:rsidRPr="000934D0">
        <w:rPr>
          <w:rFonts w:ascii="Arial" w:hAnsi="Arial" w:cs="Arial"/>
          <w:b/>
          <w:bCs/>
        </w:rPr>
        <w:t xml:space="preserve">, </w:t>
      </w:r>
      <w:r w:rsidR="000934D0" w:rsidRPr="000934D0">
        <w:rPr>
          <w:rFonts w:ascii="Arial" w:hAnsi="Arial" w:cs="Arial"/>
          <w:b/>
          <w:bCs/>
        </w:rPr>
        <w:t>building 1.5m homes</w:t>
      </w:r>
      <w:r w:rsidR="000934D0" w:rsidRPr="000934D0">
        <w:rPr>
          <w:rFonts w:ascii="Arial" w:hAnsi="Arial" w:cs="Arial"/>
          <w:b/>
          <w:bCs/>
        </w:rPr>
        <w:t xml:space="preserve"> and</w:t>
      </w:r>
      <w:r w:rsidR="000934D0">
        <w:rPr>
          <w:rFonts w:ascii="Arial" w:hAnsi="Arial" w:cs="Arial"/>
          <w:b/>
          <w:bCs/>
        </w:rPr>
        <w:t xml:space="preserve"> </w:t>
      </w:r>
      <w:r w:rsidR="005C5EB8">
        <w:rPr>
          <w:rFonts w:ascii="Arial" w:hAnsi="Arial" w:cs="Arial"/>
          <w:b/>
          <w:bCs/>
        </w:rPr>
        <w:t xml:space="preserve">ending hospital backlogs </w:t>
      </w:r>
    </w:p>
    <w:p w14:paraId="0BDE7D74" w14:textId="50FB727A" w:rsidR="005E68EA" w:rsidRPr="005E68EA" w:rsidRDefault="005E68EA" w:rsidP="005E68EA">
      <w:pPr>
        <w:rPr>
          <w:rFonts w:ascii="Arial" w:hAnsi="Arial" w:cs="Arial"/>
        </w:rPr>
      </w:pPr>
      <w:r w:rsidRPr="005E68EA">
        <w:rPr>
          <w:rFonts w:ascii="Arial" w:hAnsi="Arial" w:cs="Arial"/>
        </w:rPr>
        <w:t>The urgent implementation of the Older People’s Housing Taskforce recommendations could fast-track the Government’s missions for better living standards</w:t>
      </w:r>
      <w:r w:rsidR="00BA5E03" w:rsidRPr="00BA5E03">
        <w:rPr>
          <w:rFonts w:ascii="Arial" w:hAnsi="Arial" w:cs="Arial"/>
        </w:rPr>
        <w:t xml:space="preserve"> </w:t>
      </w:r>
      <w:r w:rsidR="00BA5E03">
        <w:rPr>
          <w:rFonts w:ascii="Arial" w:hAnsi="Arial" w:cs="Arial"/>
        </w:rPr>
        <w:t>and boosting productivity</w:t>
      </w:r>
      <w:r w:rsidRPr="005E68EA">
        <w:rPr>
          <w:rFonts w:ascii="Arial" w:hAnsi="Arial" w:cs="Arial"/>
        </w:rPr>
        <w:t>, building 1.5m homes</w:t>
      </w:r>
      <w:r w:rsidR="00C30E2D">
        <w:rPr>
          <w:rFonts w:ascii="Arial" w:hAnsi="Arial" w:cs="Arial"/>
        </w:rPr>
        <w:t xml:space="preserve"> and</w:t>
      </w:r>
      <w:r w:rsidR="00771855">
        <w:rPr>
          <w:rFonts w:ascii="Arial" w:hAnsi="Arial" w:cs="Arial"/>
        </w:rPr>
        <w:t xml:space="preserve"> </w:t>
      </w:r>
      <w:r w:rsidRPr="005E68EA">
        <w:rPr>
          <w:rFonts w:ascii="Arial" w:hAnsi="Arial" w:cs="Arial"/>
        </w:rPr>
        <w:t>ending hospital backlogs.</w:t>
      </w:r>
    </w:p>
    <w:p w14:paraId="717F71F3" w14:textId="6F3A88ED" w:rsidR="005E68EA" w:rsidRPr="005E68EA" w:rsidRDefault="005E68EA" w:rsidP="005E68EA">
      <w:pPr>
        <w:rPr>
          <w:rFonts w:ascii="Arial" w:hAnsi="Arial" w:cs="Arial"/>
        </w:rPr>
      </w:pPr>
      <w:r w:rsidRPr="005E68EA">
        <w:rPr>
          <w:rFonts w:ascii="Arial" w:hAnsi="Arial" w:cs="Arial"/>
        </w:rPr>
        <w:t xml:space="preserve">Improved provision of later life housing will </w:t>
      </w:r>
      <w:r w:rsidR="00243826">
        <w:rPr>
          <w:rFonts w:ascii="Arial" w:hAnsi="Arial" w:cs="Arial"/>
        </w:rPr>
        <w:t>increase</w:t>
      </w:r>
      <w:r w:rsidRPr="005E68EA">
        <w:rPr>
          <w:rFonts w:ascii="Arial" w:hAnsi="Arial" w:cs="Arial"/>
        </w:rPr>
        <w:t xml:space="preserve"> disposable income and GDP and enables active participation in local economies for longer. Construction fuels the economy and good housing can reduce the need for unpaid carers, enabling family members to start and stay in paid employment.</w:t>
      </w:r>
    </w:p>
    <w:p w14:paraId="41437AED" w14:textId="77777777" w:rsidR="005E68EA" w:rsidRPr="005E68EA" w:rsidRDefault="005E68EA" w:rsidP="005E68EA">
      <w:pPr>
        <w:rPr>
          <w:rFonts w:ascii="Arial" w:hAnsi="Arial" w:cs="Arial"/>
        </w:rPr>
      </w:pPr>
      <w:r w:rsidRPr="005E68EA">
        <w:rPr>
          <w:rFonts w:ascii="Arial" w:hAnsi="Arial" w:cs="Arial"/>
        </w:rPr>
        <w:t>Appropriate housing for older people is a fundamental part of building an inclusive housing market and the taskforce recommendations should also be considered as part of the reform agenda for social care announced at the start of the year.</w:t>
      </w:r>
    </w:p>
    <w:p w14:paraId="54CFB57B" w14:textId="77777777" w:rsidR="005E68EA" w:rsidRPr="005E68EA" w:rsidRDefault="005E68EA" w:rsidP="005E68EA">
      <w:pPr>
        <w:rPr>
          <w:rFonts w:ascii="Arial" w:hAnsi="Arial" w:cs="Arial"/>
        </w:rPr>
      </w:pPr>
      <w:r w:rsidRPr="005E68EA">
        <w:rPr>
          <w:rFonts w:ascii="Arial" w:hAnsi="Arial" w:cs="Arial"/>
        </w:rPr>
        <w:t>Greater provision of housing with care and support and good, well designed mainstream housing coupled with better information and advice, and support for aids and adaptations, can speed up the hospital discharge process significantly, and means people are less likely to go into hospital in the first place. This includes the provision of specialist housing where supply barely touches 8,000 annually while the need is between 30,000-50,000.</w:t>
      </w:r>
    </w:p>
    <w:p w14:paraId="3F72124A" w14:textId="77777777" w:rsidR="005E68EA" w:rsidRPr="005E68EA" w:rsidRDefault="005E68EA" w:rsidP="005E68EA">
      <w:pPr>
        <w:rPr>
          <w:rFonts w:ascii="Arial" w:hAnsi="Arial" w:cs="Arial"/>
        </w:rPr>
      </w:pPr>
      <w:r w:rsidRPr="005E68EA">
        <w:rPr>
          <w:rFonts w:ascii="Arial" w:hAnsi="Arial" w:cs="Arial"/>
        </w:rPr>
        <w:t xml:space="preserve">The need for swift action is more pressing than ever. The UK’s ageing population is growing rapidly and becoming increasingly diverse. Delaying the implementation of </w:t>
      </w:r>
      <w:r w:rsidRPr="005E68EA">
        <w:rPr>
          <w:rFonts w:ascii="Arial" w:hAnsi="Arial" w:cs="Arial"/>
        </w:rPr>
        <w:lastRenderedPageBreak/>
        <w:t>the Taskforce’s recommendations will only increase the strain on health and social care systems and further marginalise older people.</w:t>
      </w:r>
    </w:p>
    <w:p w14:paraId="6466B75F" w14:textId="70D5B8BA" w:rsidR="005E68EA" w:rsidRPr="005B4780" w:rsidRDefault="005E68EA" w:rsidP="009A6FB5">
      <w:pPr>
        <w:rPr>
          <w:rFonts w:ascii="Arial" w:hAnsi="Arial" w:cs="Arial"/>
          <w:b/>
          <w:bCs/>
        </w:rPr>
      </w:pPr>
      <w:r w:rsidRPr="005B4780">
        <w:rPr>
          <w:rFonts w:ascii="Arial" w:hAnsi="Arial" w:cs="Arial"/>
          <w:b/>
          <w:bCs/>
        </w:rPr>
        <w:t>HAA re</w:t>
      </w:r>
      <w:r w:rsidR="005B4780" w:rsidRPr="005B4780">
        <w:rPr>
          <w:rFonts w:ascii="Arial" w:hAnsi="Arial" w:cs="Arial"/>
          <w:b/>
          <w:bCs/>
        </w:rPr>
        <w:t>presentation:</w:t>
      </w:r>
    </w:p>
    <w:p w14:paraId="78B54428" w14:textId="0BCCAACB" w:rsidR="009A6FB5" w:rsidRDefault="009A6FB5" w:rsidP="009A6FB5">
      <w:pPr>
        <w:rPr>
          <w:rFonts w:ascii="Arial" w:hAnsi="Arial" w:cs="Arial"/>
        </w:rPr>
      </w:pPr>
      <w:r>
        <w:rPr>
          <w:rFonts w:ascii="Arial" w:hAnsi="Arial" w:cs="Arial"/>
        </w:rPr>
        <w:t xml:space="preserve">We believe implementing </w:t>
      </w:r>
      <w:r w:rsidR="00246DFE">
        <w:rPr>
          <w:rFonts w:ascii="Arial" w:hAnsi="Arial" w:cs="Arial"/>
        </w:rPr>
        <w:t>the</w:t>
      </w:r>
      <w:r w:rsidRPr="005C39C2">
        <w:rPr>
          <w:rFonts w:ascii="Arial" w:hAnsi="Arial" w:cs="Arial"/>
        </w:rPr>
        <w:t xml:space="preserve"> </w:t>
      </w:r>
      <w:r>
        <w:rPr>
          <w:rFonts w:ascii="Arial" w:hAnsi="Arial" w:cs="Arial"/>
        </w:rPr>
        <w:t xml:space="preserve">wide-ranging </w:t>
      </w:r>
      <w:r w:rsidRPr="002824BA">
        <w:rPr>
          <w:rFonts w:ascii="Arial" w:hAnsi="Arial" w:cs="Arial"/>
        </w:rPr>
        <w:t>recommendations</w:t>
      </w:r>
      <w:r w:rsidR="00246DFE">
        <w:rPr>
          <w:rFonts w:ascii="Arial" w:hAnsi="Arial" w:cs="Arial"/>
        </w:rPr>
        <w:t xml:space="preserve"> of </w:t>
      </w:r>
      <w:r w:rsidR="00246DFE" w:rsidRPr="002824BA">
        <w:rPr>
          <w:rFonts w:ascii="Arial" w:hAnsi="Arial" w:cs="Arial"/>
        </w:rPr>
        <w:t>the Older People’s Housing Taskforce</w:t>
      </w:r>
      <w:r>
        <w:rPr>
          <w:rFonts w:ascii="Arial" w:hAnsi="Arial" w:cs="Arial"/>
        </w:rPr>
        <w:t>, many of which do not come with significant cost, will support at least three of the Government’s milestones:</w:t>
      </w:r>
    </w:p>
    <w:p w14:paraId="24E3C716" w14:textId="69566B94" w:rsidR="00C5614B" w:rsidRPr="00EA64C5" w:rsidRDefault="008C0A5B" w:rsidP="008C0A5B">
      <w:pPr>
        <w:rPr>
          <w:rFonts w:ascii="Arial" w:hAnsi="Arial" w:cs="Arial"/>
        </w:rPr>
      </w:pPr>
      <w:r w:rsidRPr="00FD4BF2">
        <w:rPr>
          <w:rFonts w:ascii="Arial" w:hAnsi="Arial" w:cs="Arial"/>
          <w:b/>
          <w:bCs/>
        </w:rPr>
        <w:t>Raising living standards</w:t>
      </w:r>
      <w:r w:rsidR="000934D0">
        <w:rPr>
          <w:rFonts w:ascii="Arial" w:hAnsi="Arial" w:cs="Arial"/>
          <w:b/>
          <w:bCs/>
        </w:rPr>
        <w:t xml:space="preserve"> and productivity</w:t>
      </w:r>
      <w:r>
        <w:rPr>
          <w:rFonts w:ascii="Arial" w:hAnsi="Arial" w:cs="Arial"/>
          <w:b/>
          <w:bCs/>
        </w:rPr>
        <w:t xml:space="preserve">: </w:t>
      </w:r>
      <w:r w:rsidR="007D48AE">
        <w:rPr>
          <w:rFonts w:ascii="Arial" w:hAnsi="Arial" w:cs="Arial"/>
        </w:rPr>
        <w:t>I</w:t>
      </w:r>
      <w:r>
        <w:rPr>
          <w:rFonts w:ascii="Arial" w:hAnsi="Arial" w:cs="Arial"/>
        </w:rPr>
        <w:t>mproved</w:t>
      </w:r>
      <w:r w:rsidRPr="00D56A75">
        <w:rPr>
          <w:rFonts w:ascii="Arial" w:hAnsi="Arial" w:cs="Arial"/>
        </w:rPr>
        <w:t xml:space="preserve"> provision of housing for those in later life, including </w:t>
      </w:r>
      <w:r w:rsidR="00A40F83">
        <w:rPr>
          <w:rFonts w:ascii="Arial" w:hAnsi="Arial" w:cs="Arial"/>
        </w:rPr>
        <w:t>more</w:t>
      </w:r>
      <w:r w:rsidRPr="00D56A75">
        <w:rPr>
          <w:rFonts w:ascii="Arial" w:hAnsi="Arial" w:cs="Arial"/>
        </w:rPr>
        <w:t xml:space="preserve"> specialist housing, adapting existing </w:t>
      </w:r>
      <w:r w:rsidR="00A40F83">
        <w:rPr>
          <w:rFonts w:ascii="Arial" w:hAnsi="Arial" w:cs="Arial"/>
        </w:rPr>
        <w:t>homes</w:t>
      </w:r>
      <w:r w:rsidRPr="00D56A75">
        <w:rPr>
          <w:rFonts w:ascii="Arial" w:hAnsi="Arial" w:cs="Arial"/>
        </w:rPr>
        <w:t xml:space="preserve"> and ensuring new mainstream housing is suitable for ageing</w:t>
      </w:r>
      <w:r>
        <w:rPr>
          <w:rFonts w:ascii="Arial" w:hAnsi="Arial" w:cs="Arial"/>
        </w:rPr>
        <w:t xml:space="preserve"> </w:t>
      </w:r>
      <w:r w:rsidR="00FC63F9">
        <w:rPr>
          <w:rFonts w:ascii="Arial" w:hAnsi="Arial" w:cs="Arial"/>
        </w:rPr>
        <w:t xml:space="preserve">will drive measurable </w:t>
      </w:r>
      <w:r w:rsidR="00FF7A0B">
        <w:rPr>
          <w:rFonts w:ascii="Arial" w:hAnsi="Arial" w:cs="Arial"/>
        </w:rPr>
        <w:t>increases</w:t>
      </w:r>
      <w:r w:rsidR="00FC63F9">
        <w:rPr>
          <w:rFonts w:ascii="Arial" w:hAnsi="Arial" w:cs="Arial"/>
        </w:rPr>
        <w:t xml:space="preserve"> in </w:t>
      </w:r>
      <w:r w:rsidR="004B5196">
        <w:rPr>
          <w:rFonts w:ascii="Arial" w:hAnsi="Arial" w:cs="Arial"/>
        </w:rPr>
        <w:t>disposable income</w:t>
      </w:r>
      <w:r w:rsidR="00716E85">
        <w:rPr>
          <w:rFonts w:ascii="Arial" w:hAnsi="Arial" w:cs="Arial"/>
        </w:rPr>
        <w:t xml:space="preserve"> and GDP</w:t>
      </w:r>
      <w:r w:rsidR="00FF7A0B">
        <w:rPr>
          <w:rFonts w:ascii="Arial" w:hAnsi="Arial" w:cs="Arial"/>
        </w:rPr>
        <w:t>.</w:t>
      </w:r>
      <w:r w:rsidR="00047988">
        <w:rPr>
          <w:rFonts w:ascii="Arial" w:hAnsi="Arial" w:cs="Arial"/>
        </w:rPr>
        <w:t xml:space="preserve"> </w:t>
      </w:r>
      <w:r w:rsidR="00F04047">
        <w:rPr>
          <w:rFonts w:ascii="Arial" w:hAnsi="Arial" w:cs="Arial"/>
        </w:rPr>
        <w:t>Cons</w:t>
      </w:r>
      <w:r w:rsidR="00FF489D">
        <w:rPr>
          <w:rFonts w:ascii="Arial" w:hAnsi="Arial" w:cs="Arial"/>
        </w:rPr>
        <w:t>tr</w:t>
      </w:r>
      <w:r w:rsidR="00F04047">
        <w:rPr>
          <w:rFonts w:ascii="Arial" w:hAnsi="Arial" w:cs="Arial"/>
        </w:rPr>
        <w:t>u</w:t>
      </w:r>
      <w:r w:rsidR="00FF489D">
        <w:rPr>
          <w:rFonts w:ascii="Arial" w:hAnsi="Arial" w:cs="Arial"/>
        </w:rPr>
        <w:t>c</w:t>
      </w:r>
      <w:r w:rsidR="00F04047">
        <w:rPr>
          <w:rFonts w:ascii="Arial" w:hAnsi="Arial" w:cs="Arial"/>
        </w:rPr>
        <w:t xml:space="preserve">tion </w:t>
      </w:r>
      <w:r w:rsidR="00FF489D">
        <w:rPr>
          <w:rFonts w:ascii="Arial" w:hAnsi="Arial" w:cs="Arial"/>
        </w:rPr>
        <w:t>fuel</w:t>
      </w:r>
      <w:r w:rsidR="00D04758">
        <w:rPr>
          <w:rFonts w:ascii="Arial" w:hAnsi="Arial" w:cs="Arial"/>
        </w:rPr>
        <w:t>s</w:t>
      </w:r>
      <w:r w:rsidR="00FF489D">
        <w:rPr>
          <w:rFonts w:ascii="Arial" w:hAnsi="Arial" w:cs="Arial"/>
        </w:rPr>
        <w:t xml:space="preserve"> the economy while e</w:t>
      </w:r>
      <w:r w:rsidR="00412C2A">
        <w:rPr>
          <w:rFonts w:ascii="Arial" w:hAnsi="Arial" w:cs="Arial"/>
        </w:rPr>
        <w:t xml:space="preserve">nsuring housing meets </w:t>
      </w:r>
      <w:r w:rsidR="00BB6B0A">
        <w:rPr>
          <w:rFonts w:ascii="Arial" w:hAnsi="Arial" w:cs="Arial"/>
        </w:rPr>
        <w:t>our ageing society’s</w:t>
      </w:r>
      <w:r w:rsidR="00412C2A">
        <w:rPr>
          <w:rFonts w:ascii="Arial" w:hAnsi="Arial" w:cs="Arial"/>
        </w:rPr>
        <w:t xml:space="preserve"> needs </w:t>
      </w:r>
      <w:r w:rsidR="007D48AE">
        <w:rPr>
          <w:rFonts w:ascii="Arial" w:hAnsi="Arial" w:cs="Arial"/>
        </w:rPr>
        <w:t xml:space="preserve">– and </w:t>
      </w:r>
      <w:r w:rsidR="00412C2A">
        <w:rPr>
          <w:rFonts w:ascii="Arial" w:hAnsi="Arial" w:cs="Arial"/>
        </w:rPr>
        <w:t>enable</w:t>
      </w:r>
      <w:r w:rsidR="00BB6B0A">
        <w:rPr>
          <w:rFonts w:ascii="Arial" w:hAnsi="Arial" w:cs="Arial"/>
        </w:rPr>
        <w:t>s</w:t>
      </w:r>
      <w:r w:rsidR="00412C2A">
        <w:rPr>
          <w:rFonts w:ascii="Arial" w:hAnsi="Arial" w:cs="Arial"/>
        </w:rPr>
        <w:t xml:space="preserve"> </w:t>
      </w:r>
      <w:r w:rsidR="004D5814">
        <w:rPr>
          <w:rFonts w:ascii="Arial" w:hAnsi="Arial" w:cs="Arial"/>
        </w:rPr>
        <w:t>active</w:t>
      </w:r>
      <w:r w:rsidR="00412C2A">
        <w:rPr>
          <w:rFonts w:ascii="Arial" w:hAnsi="Arial" w:cs="Arial"/>
        </w:rPr>
        <w:t xml:space="preserve"> </w:t>
      </w:r>
      <w:r w:rsidR="00FC3B76">
        <w:rPr>
          <w:rFonts w:ascii="Arial" w:hAnsi="Arial" w:cs="Arial"/>
        </w:rPr>
        <w:t>participat</w:t>
      </w:r>
      <w:r w:rsidR="004D5814">
        <w:rPr>
          <w:rFonts w:ascii="Arial" w:hAnsi="Arial" w:cs="Arial"/>
        </w:rPr>
        <w:t>ion</w:t>
      </w:r>
      <w:r w:rsidR="00FC3B76">
        <w:rPr>
          <w:rFonts w:ascii="Arial" w:hAnsi="Arial" w:cs="Arial"/>
        </w:rPr>
        <w:t xml:space="preserve"> in local economies for longer, as consumers and </w:t>
      </w:r>
      <w:r w:rsidR="004A53AB">
        <w:rPr>
          <w:rFonts w:ascii="Arial" w:hAnsi="Arial" w:cs="Arial"/>
        </w:rPr>
        <w:t xml:space="preserve">through employment and volunteering. Appropriate housing </w:t>
      </w:r>
      <w:r w:rsidR="001D0FA3">
        <w:rPr>
          <w:rFonts w:ascii="Arial" w:hAnsi="Arial" w:cs="Arial"/>
        </w:rPr>
        <w:t xml:space="preserve">with support can </w:t>
      </w:r>
      <w:r w:rsidR="00F6036E">
        <w:rPr>
          <w:rFonts w:ascii="Arial" w:hAnsi="Arial" w:cs="Arial"/>
        </w:rPr>
        <w:t xml:space="preserve">also drive improvements in productivity - </w:t>
      </w:r>
      <w:r w:rsidR="004A53AB">
        <w:rPr>
          <w:rFonts w:ascii="Arial" w:hAnsi="Arial" w:cs="Arial"/>
        </w:rPr>
        <w:t>reduc</w:t>
      </w:r>
      <w:r w:rsidR="00F6036E">
        <w:rPr>
          <w:rFonts w:ascii="Arial" w:hAnsi="Arial" w:cs="Arial"/>
        </w:rPr>
        <w:t>ing</w:t>
      </w:r>
      <w:r w:rsidR="004A53AB">
        <w:rPr>
          <w:rFonts w:ascii="Arial" w:hAnsi="Arial" w:cs="Arial"/>
        </w:rPr>
        <w:t xml:space="preserve"> the need for unpaid carers</w:t>
      </w:r>
      <w:r w:rsidR="00FE75D4">
        <w:rPr>
          <w:rFonts w:ascii="Arial" w:hAnsi="Arial" w:cs="Arial"/>
        </w:rPr>
        <w:t>,</w:t>
      </w:r>
      <w:r w:rsidR="00EB12CC">
        <w:rPr>
          <w:rFonts w:ascii="Arial" w:hAnsi="Arial" w:cs="Arial"/>
        </w:rPr>
        <w:t xml:space="preserve"> enabl</w:t>
      </w:r>
      <w:r w:rsidR="00FE75D4">
        <w:rPr>
          <w:rFonts w:ascii="Arial" w:hAnsi="Arial" w:cs="Arial"/>
        </w:rPr>
        <w:t>ing</w:t>
      </w:r>
      <w:r w:rsidR="00EB12CC">
        <w:rPr>
          <w:rFonts w:ascii="Arial" w:hAnsi="Arial" w:cs="Arial"/>
        </w:rPr>
        <w:t xml:space="preserve"> family members to take on more </w:t>
      </w:r>
      <w:r w:rsidR="00EB12CC" w:rsidRPr="00EA64C5">
        <w:rPr>
          <w:rFonts w:ascii="Arial" w:hAnsi="Arial" w:cs="Arial"/>
        </w:rPr>
        <w:t>paid employment opportunities</w:t>
      </w:r>
      <w:r w:rsidR="00A2793A" w:rsidRPr="00EA64C5">
        <w:rPr>
          <w:rFonts w:ascii="Arial" w:hAnsi="Arial" w:cs="Arial"/>
        </w:rPr>
        <w:t>,</w:t>
      </w:r>
      <w:r w:rsidR="00E51323" w:rsidRPr="00EA64C5">
        <w:rPr>
          <w:rFonts w:ascii="Arial" w:hAnsi="Arial" w:cs="Arial"/>
        </w:rPr>
        <w:t xml:space="preserve"> </w:t>
      </w:r>
      <w:r w:rsidR="00A2793A" w:rsidRPr="00EA64C5">
        <w:rPr>
          <w:rFonts w:ascii="Arial" w:hAnsi="Arial" w:cs="Arial"/>
        </w:rPr>
        <w:t xml:space="preserve">stay in work, and progress their careers </w:t>
      </w:r>
      <w:r w:rsidR="00E51323" w:rsidRPr="00EA64C5">
        <w:rPr>
          <w:rFonts w:ascii="Arial" w:hAnsi="Arial" w:cs="Arial"/>
        </w:rPr>
        <w:t>– supporting the wider agenda for growth</w:t>
      </w:r>
      <w:r w:rsidR="00EB12CC" w:rsidRPr="00EA64C5">
        <w:rPr>
          <w:rFonts w:ascii="Arial" w:hAnsi="Arial" w:cs="Arial"/>
        </w:rPr>
        <w:t>.</w:t>
      </w:r>
      <w:r w:rsidR="00A538CD" w:rsidRPr="00EA64C5">
        <w:rPr>
          <w:rFonts w:ascii="Arial" w:hAnsi="Arial" w:cs="Arial"/>
        </w:rPr>
        <w:t xml:space="preserve"> Trusted ‘housing options’ information, advice and advocacy for older people would be a quick and low cost way of empowering and encouraging people to ensure that their homes, existing or new, will suit them as they age.</w:t>
      </w:r>
    </w:p>
    <w:p w14:paraId="649C8817" w14:textId="01E39B2F" w:rsidR="0010021C" w:rsidRPr="00EA64C5" w:rsidRDefault="005607AB" w:rsidP="00A171A9">
      <w:pPr>
        <w:rPr>
          <w:rFonts w:ascii="Arial" w:eastAsia="Arial" w:hAnsi="Arial" w:cs="Arial"/>
        </w:rPr>
      </w:pPr>
      <w:r w:rsidRPr="00EA64C5">
        <w:rPr>
          <w:rFonts w:ascii="Arial" w:hAnsi="Arial" w:cs="Arial"/>
        </w:rPr>
        <w:t xml:space="preserve">As </w:t>
      </w:r>
      <w:hyperlink r:id="rId8" w:history="1">
        <w:r w:rsidRPr="00EA64C5">
          <w:rPr>
            <w:rStyle w:val="Hyperlink"/>
            <w:rFonts w:ascii="Arial" w:hAnsi="Arial" w:cs="Arial"/>
          </w:rPr>
          <w:t>De</w:t>
        </w:r>
        <w:r w:rsidRPr="00EA64C5">
          <w:rPr>
            <w:rStyle w:val="Hyperlink"/>
            <w:rFonts w:ascii="Arial" w:hAnsi="Arial" w:cs="Arial"/>
          </w:rPr>
          <w:t>m</w:t>
        </w:r>
        <w:r w:rsidRPr="00EA64C5">
          <w:rPr>
            <w:rStyle w:val="Hyperlink"/>
            <w:rFonts w:ascii="Arial" w:hAnsi="Arial" w:cs="Arial"/>
          </w:rPr>
          <w:t>os</w:t>
        </w:r>
      </w:hyperlink>
      <w:r w:rsidRPr="00EA64C5">
        <w:rPr>
          <w:rFonts w:ascii="Arial" w:hAnsi="Arial" w:cs="Arial"/>
        </w:rPr>
        <w:t xml:space="preserve"> </w:t>
      </w:r>
      <w:r w:rsidR="006F3B39">
        <w:rPr>
          <w:rFonts w:ascii="Arial" w:hAnsi="Arial" w:cs="Arial"/>
        </w:rPr>
        <w:t>reports</w:t>
      </w:r>
      <w:r w:rsidR="00A940F0" w:rsidRPr="00EA64C5">
        <w:rPr>
          <w:rFonts w:ascii="Arial" w:hAnsi="Arial" w:cs="Arial"/>
        </w:rPr>
        <w:t>, s</w:t>
      </w:r>
      <w:r w:rsidR="0010021C" w:rsidRPr="00EA64C5">
        <w:rPr>
          <w:rFonts w:ascii="Arial" w:eastAsia="Arial" w:hAnsi="Arial" w:cs="Arial"/>
        </w:rPr>
        <w:t>erious hazards in people’s homes cause £300 million per year in lost economic output, equivalent to 9,000 full-time jobs. This figure would be much higher if all hazards were included.</w:t>
      </w:r>
      <w:r w:rsidR="00A171A9" w:rsidRPr="00EA64C5">
        <w:rPr>
          <w:rFonts w:ascii="Arial" w:eastAsia="Arial" w:hAnsi="Arial" w:cs="Arial"/>
        </w:rPr>
        <w:t xml:space="preserve"> </w:t>
      </w:r>
      <w:r w:rsidR="0010021C" w:rsidRPr="00EA64C5">
        <w:rPr>
          <w:rFonts w:ascii="Arial" w:eastAsia="Arial" w:hAnsi="Arial" w:cs="Arial"/>
        </w:rPr>
        <w:t>Fixing unsafe homes would boost the economy by creating jobs in local communities and improving labour market retention and productivity.</w:t>
      </w:r>
    </w:p>
    <w:p w14:paraId="641DD7C9" w14:textId="131FC2F3" w:rsidR="0010021C" w:rsidRPr="00EA64C5" w:rsidRDefault="0010021C" w:rsidP="00A171A9">
      <w:pPr>
        <w:spacing w:after="120" w:line="254" w:lineRule="auto"/>
        <w:rPr>
          <w:rFonts w:ascii="Arial" w:eastAsia="Arial" w:hAnsi="Arial" w:cs="Arial"/>
        </w:rPr>
      </w:pPr>
      <w:r w:rsidRPr="00EA64C5">
        <w:rPr>
          <w:rFonts w:ascii="Arial" w:eastAsia="Arial" w:hAnsi="Arial" w:cs="Arial"/>
        </w:rPr>
        <w:t xml:space="preserve">A national strategy to make homes warm and safe could create 300,000 jobs in </w:t>
      </w:r>
      <w:r w:rsidR="00B75EE2">
        <w:rPr>
          <w:rFonts w:ascii="Arial" w:eastAsia="Arial" w:hAnsi="Arial" w:cs="Arial"/>
        </w:rPr>
        <w:t>the</w:t>
      </w:r>
      <w:r w:rsidR="00292831">
        <w:rPr>
          <w:rFonts w:ascii="Arial" w:eastAsia="Arial" w:hAnsi="Arial" w:cs="Arial"/>
        </w:rPr>
        <w:t xml:space="preserve"> </w:t>
      </w:r>
      <w:r w:rsidRPr="00EA64C5">
        <w:rPr>
          <w:rFonts w:ascii="Arial" w:eastAsia="Arial" w:hAnsi="Arial" w:cs="Arial"/>
        </w:rPr>
        <w:t xml:space="preserve">energy efficiency retrofit space alone, </w:t>
      </w:r>
      <w:r w:rsidR="00583083" w:rsidRPr="00EA64C5">
        <w:rPr>
          <w:rFonts w:ascii="Arial" w:eastAsia="Arial" w:hAnsi="Arial" w:cs="Arial"/>
        </w:rPr>
        <w:t xml:space="preserve">according to the </w:t>
      </w:r>
      <w:hyperlink r:id="rId9" w:history="1">
        <w:r w:rsidR="00583083" w:rsidRPr="00EA64C5">
          <w:rPr>
            <w:rStyle w:val="Hyperlink"/>
            <w:rFonts w:ascii="Arial" w:eastAsia="Arial" w:hAnsi="Arial" w:cs="Arial"/>
          </w:rPr>
          <w:t>IPPR</w:t>
        </w:r>
      </w:hyperlink>
      <w:r w:rsidR="00AA7F9A" w:rsidRPr="00EA64C5">
        <w:rPr>
          <w:rFonts w:ascii="Arial" w:eastAsia="Arial" w:hAnsi="Arial" w:cs="Arial"/>
        </w:rPr>
        <w:t>,</w:t>
      </w:r>
      <w:r w:rsidR="00583083" w:rsidRPr="00EA64C5">
        <w:rPr>
          <w:rFonts w:ascii="Arial" w:eastAsia="Arial" w:hAnsi="Arial" w:cs="Arial"/>
        </w:rPr>
        <w:t xml:space="preserve"> </w:t>
      </w:r>
      <w:r w:rsidRPr="00EA64C5">
        <w:rPr>
          <w:rFonts w:ascii="Arial" w:eastAsia="Arial" w:hAnsi="Arial" w:cs="Arial"/>
        </w:rPr>
        <w:t>plus many more in local economies through home repair services.</w:t>
      </w:r>
    </w:p>
    <w:p w14:paraId="7D22F8F3" w14:textId="77777777" w:rsidR="0001551A" w:rsidRPr="00C91053" w:rsidRDefault="00D04758" w:rsidP="00F8794C">
      <w:pPr>
        <w:rPr>
          <w:rFonts w:ascii="Arial" w:hAnsi="Arial" w:cs="Arial"/>
          <w:i/>
          <w:iCs/>
        </w:rPr>
      </w:pPr>
      <w:r w:rsidRPr="00EA64C5">
        <w:rPr>
          <w:rFonts w:ascii="Arial" w:hAnsi="Arial" w:cs="Arial"/>
          <w:b/>
          <w:bCs/>
        </w:rPr>
        <w:t xml:space="preserve">Building 1.5 million homes: </w:t>
      </w:r>
      <w:r w:rsidR="002974E0" w:rsidRPr="00EA64C5">
        <w:rPr>
          <w:rFonts w:ascii="Arial" w:hAnsi="Arial" w:cs="Arial"/>
        </w:rPr>
        <w:t>T</w:t>
      </w:r>
      <w:r w:rsidR="00E02BAE" w:rsidRPr="00EA64C5">
        <w:rPr>
          <w:rFonts w:ascii="Arial" w:hAnsi="Arial" w:cs="Arial"/>
        </w:rPr>
        <w:t>he</w:t>
      </w:r>
      <w:r w:rsidR="00E02BAE" w:rsidRPr="00EA64C5">
        <w:rPr>
          <w:rFonts w:ascii="Arial" w:hAnsi="Arial" w:cs="Arial"/>
          <w:b/>
          <w:bCs/>
        </w:rPr>
        <w:t xml:space="preserve"> </w:t>
      </w:r>
      <w:r w:rsidR="00E02BAE" w:rsidRPr="00EA64C5">
        <w:rPr>
          <w:rFonts w:ascii="Arial" w:hAnsi="Arial" w:cs="Arial"/>
        </w:rPr>
        <w:t>forthcoming Housing Strategy, Planning Bill and Affordable Housing Programme</w:t>
      </w:r>
      <w:r w:rsidR="002974E0" w:rsidRPr="00EA64C5">
        <w:rPr>
          <w:rFonts w:ascii="Arial" w:hAnsi="Arial" w:cs="Arial"/>
        </w:rPr>
        <w:t xml:space="preserve"> provide crucial opportunities to </w:t>
      </w:r>
      <w:r w:rsidR="002B15C5" w:rsidRPr="00EA64C5">
        <w:rPr>
          <w:rFonts w:ascii="Arial" w:hAnsi="Arial" w:cs="Arial"/>
        </w:rPr>
        <w:t>implement the taskforce recommendations</w:t>
      </w:r>
      <w:r w:rsidR="00E10728">
        <w:rPr>
          <w:rFonts w:ascii="Arial" w:hAnsi="Arial" w:cs="Arial"/>
        </w:rPr>
        <w:t>. Doing so</w:t>
      </w:r>
      <w:r w:rsidR="003A4926">
        <w:rPr>
          <w:rFonts w:ascii="Arial" w:hAnsi="Arial" w:cs="Arial"/>
        </w:rPr>
        <w:t xml:space="preserve">, such as through </w:t>
      </w:r>
      <w:r w:rsidR="001076F3">
        <w:rPr>
          <w:rFonts w:ascii="Arial" w:hAnsi="Arial" w:cs="Arial"/>
        </w:rPr>
        <w:t xml:space="preserve">a </w:t>
      </w:r>
      <w:r w:rsidR="003A4926">
        <w:rPr>
          <w:rFonts w:ascii="Arial" w:hAnsi="Arial" w:cs="Arial"/>
        </w:rPr>
        <w:t>pro-growth planning system</w:t>
      </w:r>
      <w:r w:rsidR="001557D8">
        <w:rPr>
          <w:rFonts w:ascii="Arial" w:hAnsi="Arial" w:cs="Arial"/>
        </w:rPr>
        <w:t>,</w:t>
      </w:r>
      <w:r w:rsidR="00E10728">
        <w:rPr>
          <w:rFonts w:ascii="Arial" w:hAnsi="Arial" w:cs="Arial"/>
        </w:rPr>
        <w:t xml:space="preserve"> will </w:t>
      </w:r>
      <w:r w:rsidR="00505C0F" w:rsidRPr="002569EE">
        <w:rPr>
          <w:rFonts w:ascii="Arial" w:hAnsi="Arial" w:cs="Arial"/>
        </w:rPr>
        <w:t xml:space="preserve">demolish barriers </w:t>
      </w:r>
      <w:r w:rsidR="00FE75D4">
        <w:rPr>
          <w:rFonts w:ascii="Arial" w:hAnsi="Arial" w:cs="Arial"/>
        </w:rPr>
        <w:t xml:space="preserve">currently </w:t>
      </w:r>
      <w:r w:rsidR="00505C0F" w:rsidRPr="002569EE">
        <w:rPr>
          <w:rFonts w:ascii="Arial" w:hAnsi="Arial" w:cs="Arial"/>
        </w:rPr>
        <w:t xml:space="preserve">preventing new </w:t>
      </w:r>
      <w:r w:rsidR="00EB2A7A" w:rsidRPr="002569EE">
        <w:rPr>
          <w:rFonts w:ascii="Arial" w:hAnsi="Arial" w:cs="Arial"/>
        </w:rPr>
        <w:t xml:space="preserve">adaptable mainstream and specialist </w:t>
      </w:r>
      <w:r w:rsidR="00505C0F" w:rsidRPr="002569EE">
        <w:rPr>
          <w:rFonts w:ascii="Arial" w:hAnsi="Arial" w:cs="Arial"/>
        </w:rPr>
        <w:t>housing for older people</w:t>
      </w:r>
      <w:r w:rsidR="00E10728">
        <w:rPr>
          <w:rFonts w:ascii="Arial" w:hAnsi="Arial" w:cs="Arial"/>
        </w:rPr>
        <w:t xml:space="preserve">, </w:t>
      </w:r>
      <w:r w:rsidR="00E10728" w:rsidRPr="00C91053">
        <w:rPr>
          <w:rFonts w:ascii="Arial" w:hAnsi="Arial" w:cs="Arial"/>
        </w:rPr>
        <w:t>con</w:t>
      </w:r>
      <w:r w:rsidR="00390322" w:rsidRPr="00C91053">
        <w:rPr>
          <w:rFonts w:ascii="Arial" w:hAnsi="Arial" w:cs="Arial"/>
        </w:rPr>
        <w:t xml:space="preserve">tributing significantly to the </w:t>
      </w:r>
      <w:r w:rsidR="009440CC" w:rsidRPr="00C91053">
        <w:rPr>
          <w:rFonts w:ascii="Arial" w:hAnsi="Arial" w:cs="Arial"/>
        </w:rPr>
        <w:t>1</w:t>
      </w:r>
      <w:r w:rsidR="00390322" w:rsidRPr="00C91053">
        <w:rPr>
          <w:rFonts w:ascii="Arial" w:hAnsi="Arial" w:cs="Arial"/>
        </w:rPr>
        <w:t>.5 million target</w:t>
      </w:r>
      <w:r w:rsidR="00242F2A" w:rsidRPr="00C91053">
        <w:rPr>
          <w:rFonts w:ascii="Arial" w:hAnsi="Arial" w:cs="Arial"/>
        </w:rPr>
        <w:t>.</w:t>
      </w:r>
      <w:r w:rsidR="00B23B56" w:rsidRPr="00C91053">
        <w:rPr>
          <w:rFonts w:ascii="Arial" w:hAnsi="Arial" w:cs="Arial"/>
          <w:i/>
          <w:iCs/>
        </w:rPr>
        <w:t xml:space="preserve"> </w:t>
      </w:r>
    </w:p>
    <w:p w14:paraId="494C5261" w14:textId="644CD1D4" w:rsidR="00F8794C" w:rsidRPr="002824BA" w:rsidRDefault="0001551A" w:rsidP="00F8794C">
      <w:pPr>
        <w:rPr>
          <w:rFonts w:ascii="Arial" w:hAnsi="Arial" w:cs="Arial"/>
        </w:rPr>
      </w:pPr>
      <w:r w:rsidRPr="00C91053">
        <w:rPr>
          <w:rFonts w:ascii="Arial" w:hAnsi="Arial" w:cs="Arial"/>
          <w:iCs/>
        </w:rPr>
        <w:t xml:space="preserve">Our members’ experience is that the current planning system actively militates against the provision of a greater choice of specialist housing for older people, preventing </w:t>
      </w:r>
      <w:r w:rsidR="00180A15">
        <w:rPr>
          <w:rFonts w:ascii="Arial" w:hAnsi="Arial" w:cs="Arial"/>
          <w:iCs/>
        </w:rPr>
        <w:t>people</w:t>
      </w:r>
      <w:r w:rsidRPr="00C91053">
        <w:rPr>
          <w:rFonts w:ascii="Arial" w:hAnsi="Arial" w:cs="Arial"/>
          <w:iCs/>
        </w:rPr>
        <w:t xml:space="preserve"> from moving out of homes that are too large for their needs and expensive to heat and maintain.</w:t>
      </w:r>
      <w:r w:rsidRPr="00C91053">
        <w:rPr>
          <w:rFonts w:ascii="Arial" w:hAnsi="Arial" w:cs="Arial"/>
          <w:i/>
          <w:iCs/>
        </w:rPr>
        <w:t xml:space="preserve"> </w:t>
      </w:r>
      <w:r w:rsidR="00F8794C" w:rsidRPr="00C91053">
        <w:rPr>
          <w:rFonts w:ascii="Arial" w:hAnsi="Arial" w:cs="Arial"/>
        </w:rPr>
        <w:t xml:space="preserve">Ensuring older </w:t>
      </w:r>
      <w:r w:rsidR="00F8794C" w:rsidRPr="002824BA">
        <w:rPr>
          <w:rFonts w:ascii="Arial" w:hAnsi="Arial" w:cs="Arial"/>
        </w:rPr>
        <w:t>people have access to homes that are not only affordable but also designed for accessibility and safety is a fundamental part of building an inclusive housing market.</w:t>
      </w:r>
      <w:r w:rsidR="00105342">
        <w:rPr>
          <w:rFonts w:ascii="Arial" w:hAnsi="Arial" w:cs="Arial"/>
        </w:rPr>
        <w:t xml:space="preserve"> </w:t>
      </w:r>
      <w:r w:rsidR="005F4CC0">
        <w:rPr>
          <w:rFonts w:ascii="Arial" w:hAnsi="Arial" w:cs="Arial"/>
        </w:rPr>
        <w:t>However</w:t>
      </w:r>
      <w:r w:rsidR="00105342" w:rsidRPr="00105342">
        <w:rPr>
          <w:rFonts w:ascii="Arial" w:hAnsi="Arial" w:cs="Arial"/>
        </w:rPr>
        <w:t xml:space="preserve"> more investment is needed to increase total supply, which is barely touching 8,000</w:t>
      </w:r>
      <w:r w:rsidR="00B450B6">
        <w:rPr>
          <w:rFonts w:ascii="Arial" w:hAnsi="Arial" w:cs="Arial"/>
        </w:rPr>
        <w:t xml:space="preserve">pa </w:t>
      </w:r>
      <w:r w:rsidR="00105342" w:rsidRPr="00105342">
        <w:rPr>
          <w:rFonts w:ascii="Arial" w:hAnsi="Arial" w:cs="Arial"/>
        </w:rPr>
        <w:t xml:space="preserve">across all </w:t>
      </w:r>
      <w:r w:rsidR="00105342" w:rsidRPr="00105342">
        <w:rPr>
          <w:rFonts w:ascii="Arial" w:hAnsi="Arial" w:cs="Arial"/>
        </w:rPr>
        <w:lastRenderedPageBreak/>
        <w:t>tenures when the real need is 30,000</w:t>
      </w:r>
      <w:r w:rsidR="00294FB0">
        <w:rPr>
          <w:rFonts w:ascii="Arial" w:hAnsi="Arial" w:cs="Arial"/>
        </w:rPr>
        <w:t>-</w:t>
      </w:r>
      <w:r w:rsidR="00105342" w:rsidRPr="00105342">
        <w:rPr>
          <w:rFonts w:ascii="Arial" w:hAnsi="Arial" w:cs="Arial"/>
        </w:rPr>
        <w:t>50,000</w:t>
      </w:r>
      <w:r w:rsidR="00B450B6">
        <w:rPr>
          <w:rFonts w:ascii="Arial" w:hAnsi="Arial" w:cs="Arial"/>
        </w:rPr>
        <w:t>pa</w:t>
      </w:r>
      <w:r w:rsidR="00105342" w:rsidRPr="00105342">
        <w:rPr>
          <w:rFonts w:ascii="Arial" w:hAnsi="Arial" w:cs="Arial"/>
        </w:rPr>
        <w:t xml:space="preserve">, </w:t>
      </w:r>
      <w:r w:rsidR="00B450B6">
        <w:rPr>
          <w:rFonts w:ascii="Arial" w:hAnsi="Arial" w:cs="Arial"/>
        </w:rPr>
        <w:t>and</w:t>
      </w:r>
      <w:r w:rsidR="00105342" w:rsidRPr="00105342">
        <w:rPr>
          <w:rFonts w:ascii="Arial" w:hAnsi="Arial" w:cs="Arial"/>
        </w:rPr>
        <w:t xml:space="preserve"> retain and improve the quality and sustainability of existing homes for future generations to enjoy.</w:t>
      </w:r>
    </w:p>
    <w:p w14:paraId="0D19310E" w14:textId="07EC8F8D" w:rsidR="002B15C5" w:rsidRPr="00D65367" w:rsidRDefault="002B15C5" w:rsidP="002B15C5">
      <w:pPr>
        <w:rPr>
          <w:rFonts w:ascii="Arial" w:hAnsi="Arial" w:cs="Arial"/>
        </w:rPr>
      </w:pPr>
      <w:r w:rsidRPr="00FD4BF2">
        <w:rPr>
          <w:rFonts w:ascii="Arial" w:hAnsi="Arial" w:cs="Arial"/>
          <w:b/>
          <w:bCs/>
        </w:rPr>
        <w:t>Ending hospital backlogs</w:t>
      </w:r>
      <w:r w:rsidR="00941EEC">
        <w:rPr>
          <w:rFonts w:ascii="Arial" w:hAnsi="Arial" w:cs="Arial"/>
          <w:b/>
          <w:bCs/>
        </w:rPr>
        <w:t xml:space="preserve">: </w:t>
      </w:r>
      <w:r w:rsidR="00BD5D47" w:rsidRPr="001412AE">
        <w:rPr>
          <w:rFonts w:ascii="Arial" w:hAnsi="Arial" w:cs="Arial"/>
        </w:rPr>
        <w:t xml:space="preserve">A lack of appropriate care </w:t>
      </w:r>
      <w:r w:rsidR="00980E77">
        <w:rPr>
          <w:rFonts w:ascii="Arial" w:hAnsi="Arial" w:cs="Arial"/>
        </w:rPr>
        <w:t xml:space="preserve">or support in the home </w:t>
      </w:r>
      <w:r w:rsidR="00BD5D47" w:rsidRPr="001412AE">
        <w:rPr>
          <w:rFonts w:ascii="Arial" w:hAnsi="Arial" w:cs="Arial"/>
        </w:rPr>
        <w:t xml:space="preserve">is </w:t>
      </w:r>
      <w:r w:rsidR="004E1B24">
        <w:rPr>
          <w:rFonts w:ascii="Arial" w:hAnsi="Arial" w:cs="Arial"/>
        </w:rPr>
        <w:t>a</w:t>
      </w:r>
      <w:r w:rsidR="00BD5D47" w:rsidRPr="001412AE">
        <w:rPr>
          <w:rFonts w:ascii="Arial" w:hAnsi="Arial" w:cs="Arial"/>
        </w:rPr>
        <w:t xml:space="preserve"> major cause</w:t>
      </w:r>
      <w:r w:rsidR="001907B4" w:rsidRPr="001412AE">
        <w:rPr>
          <w:rFonts w:ascii="Arial" w:hAnsi="Arial" w:cs="Arial"/>
        </w:rPr>
        <w:t xml:space="preserve"> of delayed discharge from hospital. Greater provision of housing with care</w:t>
      </w:r>
      <w:r w:rsidR="00A00335">
        <w:rPr>
          <w:rFonts w:ascii="Arial" w:hAnsi="Arial" w:cs="Arial"/>
        </w:rPr>
        <w:t xml:space="preserve"> and support</w:t>
      </w:r>
      <w:r w:rsidR="001412AE">
        <w:rPr>
          <w:rFonts w:ascii="Arial" w:hAnsi="Arial" w:cs="Arial"/>
        </w:rPr>
        <w:t xml:space="preserve">, </w:t>
      </w:r>
      <w:r w:rsidR="00A36F80">
        <w:rPr>
          <w:rFonts w:ascii="Arial" w:hAnsi="Arial" w:cs="Arial"/>
        </w:rPr>
        <w:t xml:space="preserve">coupled with </w:t>
      </w:r>
      <w:r w:rsidR="001412AE">
        <w:rPr>
          <w:rFonts w:ascii="Arial" w:hAnsi="Arial" w:cs="Arial"/>
        </w:rPr>
        <w:t xml:space="preserve">better information and advice </w:t>
      </w:r>
      <w:r w:rsidR="00972036">
        <w:rPr>
          <w:rFonts w:ascii="Arial" w:hAnsi="Arial" w:cs="Arial"/>
        </w:rPr>
        <w:t>and support for aid</w:t>
      </w:r>
      <w:r w:rsidR="00A36F80">
        <w:rPr>
          <w:rFonts w:ascii="Arial" w:hAnsi="Arial" w:cs="Arial"/>
        </w:rPr>
        <w:t>s</w:t>
      </w:r>
      <w:r w:rsidR="00972036">
        <w:rPr>
          <w:rFonts w:ascii="Arial" w:hAnsi="Arial" w:cs="Arial"/>
        </w:rPr>
        <w:t xml:space="preserve"> and ad</w:t>
      </w:r>
      <w:r w:rsidR="00997014">
        <w:rPr>
          <w:rFonts w:ascii="Arial" w:hAnsi="Arial" w:cs="Arial"/>
        </w:rPr>
        <w:t>ap</w:t>
      </w:r>
      <w:r w:rsidR="00972036">
        <w:rPr>
          <w:rFonts w:ascii="Arial" w:hAnsi="Arial" w:cs="Arial"/>
        </w:rPr>
        <w:t>tations</w:t>
      </w:r>
      <w:r w:rsidR="00F8794C">
        <w:rPr>
          <w:rFonts w:ascii="Arial" w:hAnsi="Arial" w:cs="Arial"/>
        </w:rPr>
        <w:t xml:space="preserve">, as recommended by the </w:t>
      </w:r>
      <w:r w:rsidR="00A13A30">
        <w:rPr>
          <w:rFonts w:ascii="Arial" w:hAnsi="Arial" w:cs="Arial"/>
        </w:rPr>
        <w:t>T</w:t>
      </w:r>
      <w:r w:rsidR="00F8794C">
        <w:rPr>
          <w:rFonts w:ascii="Arial" w:hAnsi="Arial" w:cs="Arial"/>
        </w:rPr>
        <w:t>askforce,</w:t>
      </w:r>
      <w:r w:rsidR="00972036">
        <w:rPr>
          <w:rFonts w:ascii="Arial" w:hAnsi="Arial" w:cs="Arial"/>
        </w:rPr>
        <w:t xml:space="preserve"> </w:t>
      </w:r>
      <w:r w:rsidR="005B38A7">
        <w:rPr>
          <w:rFonts w:ascii="Arial" w:hAnsi="Arial" w:cs="Arial"/>
        </w:rPr>
        <w:t>can sp</w:t>
      </w:r>
      <w:r w:rsidR="00860A25">
        <w:rPr>
          <w:rFonts w:ascii="Arial" w:hAnsi="Arial" w:cs="Arial"/>
        </w:rPr>
        <w:t>eed</w:t>
      </w:r>
      <w:r w:rsidR="00954E12">
        <w:rPr>
          <w:rFonts w:ascii="Arial" w:hAnsi="Arial" w:cs="Arial"/>
        </w:rPr>
        <w:t xml:space="preserve"> up</w:t>
      </w:r>
      <w:r w:rsidR="00860A25">
        <w:rPr>
          <w:rFonts w:ascii="Arial" w:hAnsi="Arial" w:cs="Arial"/>
        </w:rPr>
        <w:t xml:space="preserve"> </w:t>
      </w:r>
      <w:r w:rsidR="006425D8">
        <w:rPr>
          <w:rFonts w:ascii="Arial" w:hAnsi="Arial" w:cs="Arial"/>
        </w:rPr>
        <w:t>the process significantly.</w:t>
      </w:r>
      <w:r w:rsidR="00FF20BC">
        <w:rPr>
          <w:rFonts w:ascii="Arial" w:hAnsi="Arial" w:cs="Arial"/>
        </w:rPr>
        <w:t xml:space="preserve"> A</w:t>
      </w:r>
      <w:r w:rsidR="004A30DD">
        <w:rPr>
          <w:rFonts w:ascii="Arial" w:hAnsi="Arial" w:cs="Arial"/>
        </w:rPr>
        <w:t>ppropriate housing also</w:t>
      </w:r>
      <w:r w:rsidR="00FD7EB6">
        <w:rPr>
          <w:rFonts w:ascii="Arial" w:hAnsi="Arial" w:cs="Arial"/>
        </w:rPr>
        <w:t xml:space="preserve"> means people are less likely to go into hospital in the first place. As H</w:t>
      </w:r>
      <w:r w:rsidR="006425D8">
        <w:rPr>
          <w:rFonts w:ascii="Arial" w:hAnsi="Arial" w:cs="Arial"/>
        </w:rPr>
        <w:t xml:space="preserve">ousing Minister Matthew Pennycook said when the report was </w:t>
      </w:r>
      <w:r w:rsidR="006425D8" w:rsidRPr="0072553C">
        <w:rPr>
          <w:rFonts w:ascii="Arial" w:hAnsi="Arial" w:cs="Arial"/>
        </w:rPr>
        <w:t xml:space="preserve">launched: “It </w:t>
      </w:r>
      <w:r w:rsidR="006425D8" w:rsidRPr="00F95AE9">
        <w:rPr>
          <w:rFonts w:ascii="Arial" w:hAnsi="Arial" w:cs="Arial"/>
        </w:rPr>
        <w:t>can enhance the wellbeing of our senior citizens and reduce demand on adult social care services and the National Health Service</w:t>
      </w:r>
      <w:r w:rsidR="006425D8" w:rsidRPr="00D65367">
        <w:rPr>
          <w:rFonts w:ascii="Arial" w:hAnsi="Arial" w:cs="Arial"/>
        </w:rPr>
        <w:t>”.</w:t>
      </w:r>
      <w:r w:rsidR="00E94FE3" w:rsidRPr="00D65367">
        <w:rPr>
          <w:rFonts w:ascii="Arial" w:hAnsi="Arial" w:cs="Arial"/>
        </w:rPr>
        <w:t xml:space="preserve"> This </w:t>
      </w:r>
      <w:r w:rsidR="00080EB5" w:rsidRPr="00D65367">
        <w:rPr>
          <w:rFonts w:ascii="Arial" w:hAnsi="Arial" w:cs="Arial"/>
        </w:rPr>
        <w:t xml:space="preserve">could be a major contributor to </w:t>
      </w:r>
      <w:r w:rsidRPr="00FD4BF2">
        <w:rPr>
          <w:rFonts w:ascii="Arial" w:hAnsi="Arial" w:cs="Arial"/>
        </w:rPr>
        <w:t>meet</w:t>
      </w:r>
      <w:r w:rsidR="00080EB5" w:rsidRPr="00D65367">
        <w:rPr>
          <w:rFonts w:ascii="Arial" w:hAnsi="Arial" w:cs="Arial"/>
        </w:rPr>
        <w:t>ing</w:t>
      </w:r>
      <w:r w:rsidRPr="00FD4BF2">
        <w:rPr>
          <w:rFonts w:ascii="Arial" w:hAnsi="Arial" w:cs="Arial"/>
        </w:rPr>
        <w:t xml:space="preserve"> the NHS standard of 92</w:t>
      </w:r>
      <w:r w:rsidR="00C44D76">
        <w:rPr>
          <w:rFonts w:ascii="Arial" w:hAnsi="Arial" w:cs="Arial"/>
        </w:rPr>
        <w:t xml:space="preserve"> percent</w:t>
      </w:r>
      <w:r w:rsidRPr="00FD4BF2">
        <w:rPr>
          <w:rFonts w:ascii="Arial" w:hAnsi="Arial" w:cs="Arial"/>
        </w:rPr>
        <w:t xml:space="preserve"> of patients in England waiting no longer than 18 weeks for elective treatment</w:t>
      </w:r>
      <w:r w:rsidR="00080EB5" w:rsidRPr="00D65367">
        <w:rPr>
          <w:rFonts w:ascii="Arial" w:hAnsi="Arial" w:cs="Arial"/>
        </w:rPr>
        <w:t>.</w:t>
      </w:r>
    </w:p>
    <w:p w14:paraId="4AB9C44C" w14:textId="454AD04F" w:rsidR="00132002" w:rsidRDefault="0001551A" w:rsidP="002824BA">
      <w:pPr>
        <w:rPr>
          <w:rFonts w:ascii="Arial" w:hAnsi="Arial" w:cs="Arial"/>
        </w:rPr>
      </w:pPr>
      <w:r>
        <w:rPr>
          <w:rFonts w:ascii="Arial" w:hAnsi="Arial" w:cs="Arial"/>
        </w:rPr>
        <w:t>Our view is that t</w:t>
      </w:r>
      <w:r w:rsidR="00D65367" w:rsidRPr="00D65367">
        <w:rPr>
          <w:rFonts w:ascii="Arial" w:hAnsi="Arial" w:cs="Arial"/>
        </w:rPr>
        <w:t xml:space="preserve">he Government is to be congratulated for </w:t>
      </w:r>
      <w:r w:rsidR="00D56F8F">
        <w:rPr>
          <w:rFonts w:ascii="Arial" w:hAnsi="Arial" w:cs="Arial"/>
        </w:rPr>
        <w:t>ambitious and measurable goals</w:t>
      </w:r>
      <w:r w:rsidR="0016467E">
        <w:rPr>
          <w:rFonts w:ascii="Arial" w:hAnsi="Arial" w:cs="Arial"/>
        </w:rPr>
        <w:t xml:space="preserve"> in the </w:t>
      </w:r>
      <w:r w:rsidR="00900F19" w:rsidRPr="003664EF">
        <w:rPr>
          <w:rFonts w:ascii="Arial" w:hAnsi="Arial" w:cs="Arial"/>
          <w:i/>
          <w:iCs/>
        </w:rPr>
        <w:t xml:space="preserve">Plan for Change: </w:t>
      </w:r>
      <w:r w:rsidR="00AE0853" w:rsidRPr="003664EF">
        <w:rPr>
          <w:rFonts w:ascii="Arial" w:hAnsi="Arial" w:cs="Arial"/>
          <w:i/>
          <w:iCs/>
        </w:rPr>
        <w:t>Milestones for mission-led government</w:t>
      </w:r>
      <w:r w:rsidR="0016467E">
        <w:rPr>
          <w:rFonts w:ascii="Arial" w:hAnsi="Arial" w:cs="Arial"/>
        </w:rPr>
        <w:t xml:space="preserve">. </w:t>
      </w:r>
    </w:p>
    <w:p w14:paraId="434670AA" w14:textId="47572152" w:rsidR="00D520D7" w:rsidRDefault="0001551A" w:rsidP="00D520D7">
      <w:pPr>
        <w:rPr>
          <w:rFonts w:ascii="Arial" w:hAnsi="Arial" w:cs="Arial"/>
        </w:rPr>
      </w:pPr>
      <w:r>
        <w:rPr>
          <w:rFonts w:ascii="Arial" w:hAnsi="Arial" w:cs="Arial"/>
        </w:rPr>
        <w:t>However, i</w:t>
      </w:r>
      <w:r w:rsidR="00282AB9">
        <w:rPr>
          <w:rFonts w:ascii="Arial" w:hAnsi="Arial" w:cs="Arial"/>
        </w:rPr>
        <w:t xml:space="preserve">t is crucial </w:t>
      </w:r>
      <w:r w:rsidR="00B213DC">
        <w:rPr>
          <w:rFonts w:ascii="Arial" w:hAnsi="Arial" w:cs="Arial"/>
        </w:rPr>
        <w:t>change benefits all members of society</w:t>
      </w:r>
      <w:r w:rsidR="0017286E">
        <w:rPr>
          <w:rFonts w:ascii="Arial" w:hAnsi="Arial" w:cs="Arial"/>
        </w:rPr>
        <w:t xml:space="preserve">. </w:t>
      </w:r>
      <w:r w:rsidR="00DD1665">
        <w:rPr>
          <w:rFonts w:ascii="Arial" w:hAnsi="Arial" w:cs="Arial"/>
        </w:rPr>
        <w:t xml:space="preserve">With </w:t>
      </w:r>
      <w:r w:rsidR="006047BF">
        <w:rPr>
          <w:rFonts w:ascii="Arial" w:hAnsi="Arial" w:cs="Arial"/>
        </w:rPr>
        <w:t xml:space="preserve">almost one in five of the UK population </w:t>
      </w:r>
      <w:r w:rsidR="008D2D73">
        <w:rPr>
          <w:rFonts w:ascii="Arial" w:hAnsi="Arial" w:cs="Arial"/>
        </w:rPr>
        <w:t xml:space="preserve">aged </w:t>
      </w:r>
      <w:r w:rsidR="00E73B23">
        <w:rPr>
          <w:rFonts w:ascii="Arial" w:hAnsi="Arial" w:cs="Arial"/>
        </w:rPr>
        <w:t xml:space="preserve">65 or over and the proportion increasing rapidly, </w:t>
      </w:r>
      <w:r w:rsidR="00D520D7">
        <w:rPr>
          <w:rFonts w:ascii="Arial" w:hAnsi="Arial" w:cs="Arial"/>
        </w:rPr>
        <w:t>supporting older people to live independently for longer also helps wider families and communities, a</w:t>
      </w:r>
      <w:r w:rsidR="00D520D7" w:rsidRPr="002824BA">
        <w:rPr>
          <w:rFonts w:ascii="Arial" w:hAnsi="Arial" w:cs="Arial"/>
        </w:rPr>
        <w:t>ligning closely with the government’s broader policy ambitions</w:t>
      </w:r>
      <w:r w:rsidR="00D520D7">
        <w:rPr>
          <w:rFonts w:ascii="Arial" w:hAnsi="Arial" w:cs="Arial"/>
        </w:rPr>
        <w:t xml:space="preserve"> for all generations</w:t>
      </w:r>
      <w:r w:rsidR="00D520D7" w:rsidRPr="002824BA">
        <w:rPr>
          <w:rFonts w:ascii="Arial" w:hAnsi="Arial" w:cs="Arial"/>
        </w:rPr>
        <w:t>.</w:t>
      </w:r>
    </w:p>
    <w:p w14:paraId="0E3194C0" w14:textId="2006BCB4" w:rsidR="00667AF5" w:rsidRPr="00476D7D" w:rsidRDefault="00A13A30" w:rsidP="00667AF5">
      <w:pPr>
        <w:rPr>
          <w:rFonts w:ascii="Arial" w:hAnsi="Arial" w:cs="Arial"/>
        </w:rPr>
      </w:pPr>
      <w:r>
        <w:rPr>
          <w:rFonts w:ascii="Arial" w:hAnsi="Arial" w:cs="Arial"/>
        </w:rPr>
        <w:t>P</w:t>
      </w:r>
      <w:r w:rsidR="00667AF5" w:rsidRPr="00476D7D">
        <w:rPr>
          <w:rFonts w:ascii="Arial" w:hAnsi="Arial" w:cs="Arial"/>
        </w:rPr>
        <w:t xml:space="preserve">oor housing for older people </w:t>
      </w:r>
      <w:r w:rsidR="00667AF5">
        <w:rPr>
          <w:rFonts w:ascii="Arial" w:hAnsi="Arial" w:cs="Arial"/>
        </w:rPr>
        <w:t>often</w:t>
      </w:r>
      <w:r w:rsidR="00667AF5" w:rsidRPr="00476D7D">
        <w:rPr>
          <w:rFonts w:ascii="Arial" w:hAnsi="Arial" w:cs="Arial"/>
        </w:rPr>
        <w:t xml:space="preserve"> </w:t>
      </w:r>
      <w:r>
        <w:rPr>
          <w:rFonts w:ascii="Arial" w:hAnsi="Arial" w:cs="Arial"/>
        </w:rPr>
        <w:t>also impacts</w:t>
      </w:r>
      <w:r w:rsidR="00667AF5" w:rsidRPr="00476D7D">
        <w:rPr>
          <w:rFonts w:ascii="Arial" w:hAnsi="Arial" w:cs="Arial"/>
        </w:rPr>
        <w:t xml:space="preserve"> younger generations</w:t>
      </w:r>
      <w:r w:rsidR="00294FB0">
        <w:rPr>
          <w:rFonts w:ascii="Arial" w:hAnsi="Arial" w:cs="Arial"/>
        </w:rPr>
        <w:t xml:space="preserve">; both in terms of the impact on their wellbeing of juggling work with supporting older family members and tax to fund the </w:t>
      </w:r>
      <w:r w:rsidR="00667AF5" w:rsidRPr="00476D7D">
        <w:rPr>
          <w:rFonts w:ascii="Arial" w:hAnsi="Arial" w:cs="Arial"/>
        </w:rPr>
        <w:t>increas</w:t>
      </w:r>
      <w:r w:rsidR="00294FB0">
        <w:rPr>
          <w:rFonts w:ascii="Arial" w:hAnsi="Arial" w:cs="Arial"/>
        </w:rPr>
        <w:t>ed</w:t>
      </w:r>
      <w:r w:rsidR="00667AF5" w:rsidRPr="00476D7D">
        <w:rPr>
          <w:rFonts w:ascii="Arial" w:hAnsi="Arial" w:cs="Arial"/>
        </w:rPr>
        <w:t xml:space="preserve"> cost of health and care services. </w:t>
      </w:r>
    </w:p>
    <w:p w14:paraId="653AD211" w14:textId="33248005" w:rsidR="00845853" w:rsidRPr="002824BA" w:rsidRDefault="00845853" w:rsidP="00845853">
      <w:pPr>
        <w:rPr>
          <w:rFonts w:ascii="Arial" w:hAnsi="Arial" w:cs="Arial"/>
        </w:rPr>
      </w:pPr>
      <w:r w:rsidRPr="002824BA">
        <w:rPr>
          <w:rFonts w:ascii="Arial" w:hAnsi="Arial" w:cs="Arial"/>
        </w:rPr>
        <w:t>The need for swift action is more pressing than ever. The UK’s ag</w:t>
      </w:r>
      <w:r w:rsidR="003F48D7">
        <w:rPr>
          <w:rFonts w:ascii="Arial" w:hAnsi="Arial" w:cs="Arial"/>
        </w:rPr>
        <w:t>e</w:t>
      </w:r>
      <w:r w:rsidRPr="002824BA">
        <w:rPr>
          <w:rFonts w:ascii="Arial" w:hAnsi="Arial" w:cs="Arial"/>
        </w:rPr>
        <w:t>ing population is growing rapidly</w:t>
      </w:r>
      <w:r w:rsidR="00512395">
        <w:rPr>
          <w:rFonts w:ascii="Arial" w:hAnsi="Arial" w:cs="Arial"/>
        </w:rPr>
        <w:t xml:space="preserve"> and is increasingly diverse</w:t>
      </w:r>
      <w:r w:rsidRPr="002824BA">
        <w:rPr>
          <w:rFonts w:ascii="Arial" w:hAnsi="Arial" w:cs="Arial"/>
        </w:rPr>
        <w:t>. Delaying the implementation of the Taskforce’s recommendations will only increase the strain on health and social care systems and further marginalise older people.</w:t>
      </w:r>
    </w:p>
    <w:p w14:paraId="17FF7103" w14:textId="4BD95671" w:rsidR="00045079" w:rsidRPr="00C46047" w:rsidRDefault="00045079" w:rsidP="00045079">
      <w:pPr>
        <w:rPr>
          <w:rFonts w:ascii="Arial" w:hAnsi="Arial" w:cs="Arial"/>
        </w:rPr>
      </w:pPr>
      <w:r w:rsidRPr="00C46047">
        <w:rPr>
          <w:rFonts w:ascii="Arial" w:hAnsi="Arial" w:cs="Arial"/>
        </w:rPr>
        <w:t xml:space="preserve">As we have indicated above, housing is also central to social care and the taskforce recommendations </w:t>
      </w:r>
      <w:r w:rsidR="00FE7626">
        <w:rPr>
          <w:rFonts w:ascii="Arial" w:hAnsi="Arial" w:cs="Arial"/>
        </w:rPr>
        <w:t>should be</w:t>
      </w:r>
      <w:r w:rsidRPr="00C46047">
        <w:rPr>
          <w:rFonts w:ascii="Arial" w:hAnsi="Arial" w:cs="Arial"/>
        </w:rPr>
        <w:t xml:space="preserve"> considered as part of the reform agenda for social care announced at the start of the year.</w:t>
      </w:r>
    </w:p>
    <w:p w14:paraId="6CB379BF" w14:textId="17A61E98" w:rsidR="00845853" w:rsidRPr="00F9628B" w:rsidRDefault="00845853" w:rsidP="00845853">
      <w:pPr>
        <w:rPr>
          <w:rFonts w:ascii="Arial" w:hAnsi="Arial" w:cs="Arial"/>
        </w:rPr>
      </w:pPr>
      <w:r w:rsidRPr="00F9628B">
        <w:rPr>
          <w:rFonts w:ascii="Arial" w:hAnsi="Arial" w:cs="Arial"/>
        </w:rPr>
        <w:t xml:space="preserve">We </w:t>
      </w:r>
      <w:r w:rsidR="00F9628B" w:rsidRPr="00F9628B">
        <w:rPr>
          <w:rFonts w:ascii="Arial" w:hAnsi="Arial" w:cs="Arial"/>
        </w:rPr>
        <w:t xml:space="preserve">would be delighted to discuss our views and share our knowledge </w:t>
      </w:r>
      <w:r w:rsidR="00FE7626">
        <w:rPr>
          <w:rFonts w:ascii="Arial" w:hAnsi="Arial" w:cs="Arial"/>
        </w:rPr>
        <w:t>to help progress this important agenda</w:t>
      </w:r>
      <w:r w:rsidRPr="00F9628B">
        <w:rPr>
          <w:rFonts w:ascii="Arial" w:hAnsi="Arial" w:cs="Arial"/>
        </w:rPr>
        <w:t>.</w:t>
      </w:r>
    </w:p>
    <w:sectPr w:rsidR="00845853" w:rsidRPr="00F9628B" w:rsidSect="009973AB">
      <w:headerReference w:type="default" r:id="rId10"/>
      <w:pgSz w:w="11906" w:h="17338"/>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8FA00" w14:textId="77777777" w:rsidR="00386BE4" w:rsidRDefault="00386BE4" w:rsidP="0096458F">
      <w:pPr>
        <w:spacing w:after="0" w:line="240" w:lineRule="auto"/>
      </w:pPr>
      <w:r>
        <w:separator/>
      </w:r>
    </w:p>
  </w:endnote>
  <w:endnote w:type="continuationSeparator" w:id="0">
    <w:p w14:paraId="09C89CC5" w14:textId="77777777" w:rsidR="00386BE4" w:rsidRDefault="00386BE4" w:rsidP="0096458F">
      <w:pPr>
        <w:spacing w:after="0" w:line="240" w:lineRule="auto"/>
      </w:pPr>
      <w:r>
        <w:continuationSeparator/>
      </w:r>
    </w:p>
  </w:endnote>
  <w:endnote w:type="continuationNotice" w:id="1">
    <w:p w14:paraId="6C869D49" w14:textId="77777777" w:rsidR="00386BE4" w:rsidRDefault="00386B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1C34C" w14:textId="77777777" w:rsidR="00386BE4" w:rsidRDefault="00386BE4" w:rsidP="0096458F">
      <w:pPr>
        <w:spacing w:after="0" w:line="240" w:lineRule="auto"/>
      </w:pPr>
      <w:r>
        <w:separator/>
      </w:r>
    </w:p>
  </w:footnote>
  <w:footnote w:type="continuationSeparator" w:id="0">
    <w:p w14:paraId="5C613ED3" w14:textId="77777777" w:rsidR="00386BE4" w:rsidRDefault="00386BE4" w:rsidP="0096458F">
      <w:pPr>
        <w:spacing w:after="0" w:line="240" w:lineRule="auto"/>
      </w:pPr>
      <w:r>
        <w:continuationSeparator/>
      </w:r>
    </w:p>
  </w:footnote>
  <w:footnote w:type="continuationNotice" w:id="1">
    <w:p w14:paraId="2C33970C" w14:textId="77777777" w:rsidR="00386BE4" w:rsidRDefault="00386B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C0C20" w14:textId="348B0612" w:rsidR="0096458F" w:rsidRDefault="0096458F" w:rsidP="00145CEB">
    <w:pPr>
      <w:pStyle w:val="Header"/>
      <w:jc w:val="right"/>
    </w:pPr>
    <w:r>
      <w:rPr>
        <w:noProof/>
      </w:rPr>
      <w:drawing>
        <wp:inline distT="0" distB="0" distL="0" distR="0" wp14:anchorId="54749D28" wp14:editId="74E7A0A4">
          <wp:extent cx="2386013" cy="782163"/>
          <wp:effectExtent l="0" t="0" r="0" b="0"/>
          <wp:docPr id="16267286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728661" name=""/>
                  <pic:cNvPicPr/>
                </pic:nvPicPr>
                <pic:blipFill rotWithShape="1">
                  <a:blip r:embed="rId1"/>
                  <a:srcRect l="3711" t="37628" r="11166" b="20514"/>
                  <a:stretch/>
                </pic:blipFill>
                <pic:spPr bwMode="auto">
                  <a:xfrm>
                    <a:off x="0" y="0"/>
                    <a:ext cx="2407609" cy="78924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ABA208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1A5170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B17375"/>
    <w:multiLevelType w:val="multilevel"/>
    <w:tmpl w:val="1B841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255FB3"/>
    <w:multiLevelType w:val="multilevel"/>
    <w:tmpl w:val="42A6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97608C"/>
    <w:multiLevelType w:val="multilevel"/>
    <w:tmpl w:val="5BCC0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1BA23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510755615">
    <w:abstractNumId w:val="5"/>
  </w:num>
  <w:num w:numId="2" w16cid:durableId="739059084">
    <w:abstractNumId w:val="0"/>
  </w:num>
  <w:num w:numId="3" w16cid:durableId="849488721">
    <w:abstractNumId w:val="1"/>
  </w:num>
  <w:num w:numId="4" w16cid:durableId="1194464343">
    <w:abstractNumId w:val="2"/>
  </w:num>
  <w:num w:numId="5" w16cid:durableId="1413356297">
    <w:abstractNumId w:val="3"/>
  </w:num>
  <w:num w:numId="6" w16cid:durableId="12667692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2BD"/>
    <w:rsid w:val="00004352"/>
    <w:rsid w:val="0001551A"/>
    <w:rsid w:val="000168DD"/>
    <w:rsid w:val="00016CD9"/>
    <w:rsid w:val="00016F1A"/>
    <w:rsid w:val="000225F9"/>
    <w:rsid w:val="000266A5"/>
    <w:rsid w:val="00032958"/>
    <w:rsid w:val="000374B7"/>
    <w:rsid w:val="00041635"/>
    <w:rsid w:val="00044097"/>
    <w:rsid w:val="00045079"/>
    <w:rsid w:val="00047988"/>
    <w:rsid w:val="00057226"/>
    <w:rsid w:val="00074204"/>
    <w:rsid w:val="00074816"/>
    <w:rsid w:val="00080EB5"/>
    <w:rsid w:val="000934D0"/>
    <w:rsid w:val="00093A9C"/>
    <w:rsid w:val="000A0FDE"/>
    <w:rsid w:val="000A7800"/>
    <w:rsid w:val="000A7A57"/>
    <w:rsid w:val="000B1890"/>
    <w:rsid w:val="000B3322"/>
    <w:rsid w:val="000C6268"/>
    <w:rsid w:val="000E02DD"/>
    <w:rsid w:val="000F0064"/>
    <w:rsid w:val="0010021C"/>
    <w:rsid w:val="00105342"/>
    <w:rsid w:val="001076F3"/>
    <w:rsid w:val="00132002"/>
    <w:rsid w:val="001412AE"/>
    <w:rsid w:val="00145CEB"/>
    <w:rsid w:val="00146213"/>
    <w:rsid w:val="001557D8"/>
    <w:rsid w:val="00155F74"/>
    <w:rsid w:val="0016288E"/>
    <w:rsid w:val="0016467E"/>
    <w:rsid w:val="00171C95"/>
    <w:rsid w:val="0017286E"/>
    <w:rsid w:val="00177C63"/>
    <w:rsid w:val="00180A15"/>
    <w:rsid w:val="001845A6"/>
    <w:rsid w:val="001847D0"/>
    <w:rsid w:val="001907B4"/>
    <w:rsid w:val="001C1A92"/>
    <w:rsid w:val="001C2041"/>
    <w:rsid w:val="001C20F8"/>
    <w:rsid w:val="001C47EC"/>
    <w:rsid w:val="001D0FA3"/>
    <w:rsid w:val="001E0779"/>
    <w:rsid w:val="001F480C"/>
    <w:rsid w:val="00203F08"/>
    <w:rsid w:val="0022573C"/>
    <w:rsid w:val="00233A8E"/>
    <w:rsid w:val="00237357"/>
    <w:rsid w:val="00240ED5"/>
    <w:rsid w:val="00242F2A"/>
    <w:rsid w:val="00243826"/>
    <w:rsid w:val="00245659"/>
    <w:rsid w:val="00246DFE"/>
    <w:rsid w:val="00254FB0"/>
    <w:rsid w:val="002569EE"/>
    <w:rsid w:val="00261904"/>
    <w:rsid w:val="002824BA"/>
    <w:rsid w:val="00282AB9"/>
    <w:rsid w:val="00284446"/>
    <w:rsid w:val="00287AD9"/>
    <w:rsid w:val="00292831"/>
    <w:rsid w:val="002929F1"/>
    <w:rsid w:val="00294FB0"/>
    <w:rsid w:val="002974E0"/>
    <w:rsid w:val="002A558E"/>
    <w:rsid w:val="002B15C5"/>
    <w:rsid w:val="002B7671"/>
    <w:rsid w:val="002C2A08"/>
    <w:rsid w:val="002C6C67"/>
    <w:rsid w:val="002C6D34"/>
    <w:rsid w:val="002D58B0"/>
    <w:rsid w:val="002F18B3"/>
    <w:rsid w:val="00325A19"/>
    <w:rsid w:val="00340DDB"/>
    <w:rsid w:val="00352142"/>
    <w:rsid w:val="003664EF"/>
    <w:rsid w:val="0038541C"/>
    <w:rsid w:val="00386BE4"/>
    <w:rsid w:val="00390322"/>
    <w:rsid w:val="00395CC6"/>
    <w:rsid w:val="003A1C18"/>
    <w:rsid w:val="003A4926"/>
    <w:rsid w:val="003B36F9"/>
    <w:rsid w:val="003D4F27"/>
    <w:rsid w:val="003E4F13"/>
    <w:rsid w:val="003F2E5D"/>
    <w:rsid w:val="003F48D7"/>
    <w:rsid w:val="00412C2A"/>
    <w:rsid w:val="004325B2"/>
    <w:rsid w:val="00441CD8"/>
    <w:rsid w:val="004446BB"/>
    <w:rsid w:val="00457EF7"/>
    <w:rsid w:val="00473509"/>
    <w:rsid w:val="00476D7D"/>
    <w:rsid w:val="004822B6"/>
    <w:rsid w:val="004834CA"/>
    <w:rsid w:val="004871C5"/>
    <w:rsid w:val="00490006"/>
    <w:rsid w:val="004A30DD"/>
    <w:rsid w:val="004A53AB"/>
    <w:rsid w:val="004B21A7"/>
    <w:rsid w:val="004B5196"/>
    <w:rsid w:val="004B7D47"/>
    <w:rsid w:val="004C0EB4"/>
    <w:rsid w:val="004D52BD"/>
    <w:rsid w:val="004D5814"/>
    <w:rsid w:val="004E1B24"/>
    <w:rsid w:val="004F6DAE"/>
    <w:rsid w:val="00500406"/>
    <w:rsid w:val="00502B95"/>
    <w:rsid w:val="0050488E"/>
    <w:rsid w:val="00505C0F"/>
    <w:rsid w:val="00512395"/>
    <w:rsid w:val="00512608"/>
    <w:rsid w:val="00513CA1"/>
    <w:rsid w:val="00536422"/>
    <w:rsid w:val="00540636"/>
    <w:rsid w:val="00540FF5"/>
    <w:rsid w:val="00545F15"/>
    <w:rsid w:val="00551B97"/>
    <w:rsid w:val="00554AA0"/>
    <w:rsid w:val="005607AB"/>
    <w:rsid w:val="005612DE"/>
    <w:rsid w:val="0057036D"/>
    <w:rsid w:val="005800D4"/>
    <w:rsid w:val="00583083"/>
    <w:rsid w:val="00595C10"/>
    <w:rsid w:val="005A064B"/>
    <w:rsid w:val="005A0804"/>
    <w:rsid w:val="005A1D2A"/>
    <w:rsid w:val="005B38A7"/>
    <w:rsid w:val="005B4362"/>
    <w:rsid w:val="005B4780"/>
    <w:rsid w:val="005C39C2"/>
    <w:rsid w:val="005C5EB8"/>
    <w:rsid w:val="005D2F1C"/>
    <w:rsid w:val="005E0B0F"/>
    <w:rsid w:val="005E0F22"/>
    <w:rsid w:val="005E68EA"/>
    <w:rsid w:val="005F4CC0"/>
    <w:rsid w:val="006047BF"/>
    <w:rsid w:val="00615D0A"/>
    <w:rsid w:val="0063507C"/>
    <w:rsid w:val="0063717B"/>
    <w:rsid w:val="00640ED6"/>
    <w:rsid w:val="006425D8"/>
    <w:rsid w:val="006539FC"/>
    <w:rsid w:val="006668DD"/>
    <w:rsid w:val="00667AF5"/>
    <w:rsid w:val="00671BE4"/>
    <w:rsid w:val="006778B6"/>
    <w:rsid w:val="006818E8"/>
    <w:rsid w:val="00687FF1"/>
    <w:rsid w:val="0069551F"/>
    <w:rsid w:val="00695E65"/>
    <w:rsid w:val="006A41BB"/>
    <w:rsid w:val="006A7A1B"/>
    <w:rsid w:val="006B2341"/>
    <w:rsid w:val="006C2E28"/>
    <w:rsid w:val="006F12D5"/>
    <w:rsid w:val="006F1469"/>
    <w:rsid w:val="006F3B39"/>
    <w:rsid w:val="007035F5"/>
    <w:rsid w:val="00710946"/>
    <w:rsid w:val="00716E85"/>
    <w:rsid w:val="0072553C"/>
    <w:rsid w:val="00726D69"/>
    <w:rsid w:val="00726ED9"/>
    <w:rsid w:val="00732F64"/>
    <w:rsid w:val="0075088F"/>
    <w:rsid w:val="007550AA"/>
    <w:rsid w:val="00757DC2"/>
    <w:rsid w:val="00771855"/>
    <w:rsid w:val="00774544"/>
    <w:rsid w:val="00791D8A"/>
    <w:rsid w:val="0079523B"/>
    <w:rsid w:val="007B62A7"/>
    <w:rsid w:val="007B7DD1"/>
    <w:rsid w:val="007D48AE"/>
    <w:rsid w:val="007D50AE"/>
    <w:rsid w:val="007D638C"/>
    <w:rsid w:val="007E4950"/>
    <w:rsid w:val="00801D96"/>
    <w:rsid w:val="00805634"/>
    <w:rsid w:val="00845853"/>
    <w:rsid w:val="00857C76"/>
    <w:rsid w:val="00860A25"/>
    <w:rsid w:val="008777F7"/>
    <w:rsid w:val="008859CD"/>
    <w:rsid w:val="00897F8A"/>
    <w:rsid w:val="008C0A5B"/>
    <w:rsid w:val="008D2D73"/>
    <w:rsid w:val="008D5439"/>
    <w:rsid w:val="008E60C6"/>
    <w:rsid w:val="008F2506"/>
    <w:rsid w:val="008F45C1"/>
    <w:rsid w:val="008F5E0E"/>
    <w:rsid w:val="00900F19"/>
    <w:rsid w:val="009048AB"/>
    <w:rsid w:val="0090651C"/>
    <w:rsid w:val="00914301"/>
    <w:rsid w:val="00915F4D"/>
    <w:rsid w:val="009307AE"/>
    <w:rsid w:val="00941DD6"/>
    <w:rsid w:val="00941EEC"/>
    <w:rsid w:val="00942361"/>
    <w:rsid w:val="009440CC"/>
    <w:rsid w:val="00947CD8"/>
    <w:rsid w:val="00951627"/>
    <w:rsid w:val="00954E12"/>
    <w:rsid w:val="0096458F"/>
    <w:rsid w:val="00972036"/>
    <w:rsid w:val="00980E77"/>
    <w:rsid w:val="00997014"/>
    <w:rsid w:val="009973AB"/>
    <w:rsid w:val="009A1F00"/>
    <w:rsid w:val="009A6FB5"/>
    <w:rsid w:val="009C302E"/>
    <w:rsid w:val="009E1DBD"/>
    <w:rsid w:val="009E576F"/>
    <w:rsid w:val="00A00335"/>
    <w:rsid w:val="00A13A30"/>
    <w:rsid w:val="00A171A9"/>
    <w:rsid w:val="00A2793A"/>
    <w:rsid w:val="00A36F80"/>
    <w:rsid w:val="00A4087C"/>
    <w:rsid w:val="00A40F83"/>
    <w:rsid w:val="00A41A04"/>
    <w:rsid w:val="00A538CD"/>
    <w:rsid w:val="00A67005"/>
    <w:rsid w:val="00A82F51"/>
    <w:rsid w:val="00A90CDE"/>
    <w:rsid w:val="00A940F0"/>
    <w:rsid w:val="00A94F14"/>
    <w:rsid w:val="00AA7F9A"/>
    <w:rsid w:val="00AB4FA8"/>
    <w:rsid w:val="00AC3C51"/>
    <w:rsid w:val="00AD1D2E"/>
    <w:rsid w:val="00AD54B5"/>
    <w:rsid w:val="00AE0853"/>
    <w:rsid w:val="00AF0DBD"/>
    <w:rsid w:val="00AF672D"/>
    <w:rsid w:val="00B054E1"/>
    <w:rsid w:val="00B213DC"/>
    <w:rsid w:val="00B23B56"/>
    <w:rsid w:val="00B242CA"/>
    <w:rsid w:val="00B31396"/>
    <w:rsid w:val="00B450B6"/>
    <w:rsid w:val="00B73118"/>
    <w:rsid w:val="00B742A2"/>
    <w:rsid w:val="00B75EE2"/>
    <w:rsid w:val="00B878BB"/>
    <w:rsid w:val="00B91F8C"/>
    <w:rsid w:val="00BA5E03"/>
    <w:rsid w:val="00BB632A"/>
    <w:rsid w:val="00BB6B0A"/>
    <w:rsid w:val="00BC484B"/>
    <w:rsid w:val="00BD202A"/>
    <w:rsid w:val="00BD3984"/>
    <w:rsid w:val="00BD5D47"/>
    <w:rsid w:val="00BE2411"/>
    <w:rsid w:val="00BE79ED"/>
    <w:rsid w:val="00BF3788"/>
    <w:rsid w:val="00C01045"/>
    <w:rsid w:val="00C119B9"/>
    <w:rsid w:val="00C12193"/>
    <w:rsid w:val="00C13A14"/>
    <w:rsid w:val="00C21143"/>
    <w:rsid w:val="00C2152A"/>
    <w:rsid w:val="00C30E2D"/>
    <w:rsid w:val="00C343C8"/>
    <w:rsid w:val="00C35591"/>
    <w:rsid w:val="00C44D76"/>
    <w:rsid w:val="00C44E37"/>
    <w:rsid w:val="00C46047"/>
    <w:rsid w:val="00C5614B"/>
    <w:rsid w:val="00C65619"/>
    <w:rsid w:val="00C66B28"/>
    <w:rsid w:val="00C91053"/>
    <w:rsid w:val="00CC05CE"/>
    <w:rsid w:val="00CC37F3"/>
    <w:rsid w:val="00D01981"/>
    <w:rsid w:val="00D04758"/>
    <w:rsid w:val="00D06F2B"/>
    <w:rsid w:val="00D11F74"/>
    <w:rsid w:val="00D37454"/>
    <w:rsid w:val="00D43053"/>
    <w:rsid w:val="00D520D7"/>
    <w:rsid w:val="00D56A75"/>
    <w:rsid w:val="00D56F8F"/>
    <w:rsid w:val="00D65367"/>
    <w:rsid w:val="00D657A5"/>
    <w:rsid w:val="00D74B37"/>
    <w:rsid w:val="00D77F20"/>
    <w:rsid w:val="00D875F6"/>
    <w:rsid w:val="00D925BF"/>
    <w:rsid w:val="00DA258F"/>
    <w:rsid w:val="00DC5AD3"/>
    <w:rsid w:val="00DD1665"/>
    <w:rsid w:val="00DD20A3"/>
    <w:rsid w:val="00DD4EAD"/>
    <w:rsid w:val="00DD6FBE"/>
    <w:rsid w:val="00DE210D"/>
    <w:rsid w:val="00DF6574"/>
    <w:rsid w:val="00E02BAE"/>
    <w:rsid w:val="00E06FFC"/>
    <w:rsid w:val="00E10728"/>
    <w:rsid w:val="00E321DE"/>
    <w:rsid w:val="00E3478B"/>
    <w:rsid w:val="00E37D5F"/>
    <w:rsid w:val="00E47035"/>
    <w:rsid w:val="00E51323"/>
    <w:rsid w:val="00E634B8"/>
    <w:rsid w:val="00E73635"/>
    <w:rsid w:val="00E73B23"/>
    <w:rsid w:val="00E91DBB"/>
    <w:rsid w:val="00E92162"/>
    <w:rsid w:val="00E94FE3"/>
    <w:rsid w:val="00E9552D"/>
    <w:rsid w:val="00E96F38"/>
    <w:rsid w:val="00E97B9F"/>
    <w:rsid w:val="00EA64C5"/>
    <w:rsid w:val="00EB12CC"/>
    <w:rsid w:val="00EB2A7A"/>
    <w:rsid w:val="00EB61B7"/>
    <w:rsid w:val="00ED2A33"/>
    <w:rsid w:val="00ED5521"/>
    <w:rsid w:val="00EE3D4F"/>
    <w:rsid w:val="00EF0886"/>
    <w:rsid w:val="00EF1D51"/>
    <w:rsid w:val="00F04047"/>
    <w:rsid w:val="00F06A6C"/>
    <w:rsid w:val="00F14D81"/>
    <w:rsid w:val="00F22A32"/>
    <w:rsid w:val="00F24D79"/>
    <w:rsid w:val="00F40EB8"/>
    <w:rsid w:val="00F51DF3"/>
    <w:rsid w:val="00F6036E"/>
    <w:rsid w:val="00F71AC6"/>
    <w:rsid w:val="00F7311B"/>
    <w:rsid w:val="00F765E6"/>
    <w:rsid w:val="00F85281"/>
    <w:rsid w:val="00F8794C"/>
    <w:rsid w:val="00F9099E"/>
    <w:rsid w:val="00F95AE9"/>
    <w:rsid w:val="00F95B75"/>
    <w:rsid w:val="00F9628B"/>
    <w:rsid w:val="00FA10A4"/>
    <w:rsid w:val="00FA2ABE"/>
    <w:rsid w:val="00FC1036"/>
    <w:rsid w:val="00FC24CB"/>
    <w:rsid w:val="00FC3B76"/>
    <w:rsid w:val="00FC63F9"/>
    <w:rsid w:val="00FC72CE"/>
    <w:rsid w:val="00FD4BF2"/>
    <w:rsid w:val="00FD7EB6"/>
    <w:rsid w:val="00FE1598"/>
    <w:rsid w:val="00FE4F46"/>
    <w:rsid w:val="00FE5E56"/>
    <w:rsid w:val="00FE75D4"/>
    <w:rsid w:val="00FE7626"/>
    <w:rsid w:val="00FF20BC"/>
    <w:rsid w:val="00FF489D"/>
    <w:rsid w:val="00FF7A0B"/>
    <w:rsid w:val="32D3AB92"/>
    <w:rsid w:val="456394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D0F67"/>
  <w15:chartTrackingRefBased/>
  <w15:docId w15:val="{467AC132-8B28-4964-A221-E0A1E88CA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52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52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52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52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52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52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52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52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52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2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52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52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52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52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52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52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52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52BD"/>
    <w:rPr>
      <w:rFonts w:eastAsiaTheme="majorEastAsia" w:cstheme="majorBidi"/>
      <w:color w:val="272727" w:themeColor="text1" w:themeTint="D8"/>
    </w:rPr>
  </w:style>
  <w:style w:type="paragraph" w:styleId="Title">
    <w:name w:val="Title"/>
    <w:basedOn w:val="Normal"/>
    <w:next w:val="Normal"/>
    <w:link w:val="TitleChar"/>
    <w:uiPriority w:val="10"/>
    <w:qFormat/>
    <w:rsid w:val="004D52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52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52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52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52BD"/>
    <w:pPr>
      <w:spacing w:before="160"/>
      <w:jc w:val="center"/>
    </w:pPr>
    <w:rPr>
      <w:i/>
      <w:iCs/>
      <w:color w:val="404040" w:themeColor="text1" w:themeTint="BF"/>
    </w:rPr>
  </w:style>
  <w:style w:type="character" w:customStyle="1" w:styleId="QuoteChar">
    <w:name w:val="Quote Char"/>
    <w:basedOn w:val="DefaultParagraphFont"/>
    <w:link w:val="Quote"/>
    <w:uiPriority w:val="29"/>
    <w:rsid w:val="004D52BD"/>
    <w:rPr>
      <w:i/>
      <w:iCs/>
      <w:color w:val="404040" w:themeColor="text1" w:themeTint="BF"/>
    </w:rPr>
  </w:style>
  <w:style w:type="paragraph" w:styleId="ListParagraph">
    <w:name w:val="List Paragraph"/>
    <w:basedOn w:val="Normal"/>
    <w:uiPriority w:val="34"/>
    <w:qFormat/>
    <w:rsid w:val="004D52BD"/>
    <w:pPr>
      <w:ind w:left="720"/>
      <w:contextualSpacing/>
    </w:pPr>
  </w:style>
  <w:style w:type="character" w:styleId="IntenseEmphasis">
    <w:name w:val="Intense Emphasis"/>
    <w:basedOn w:val="DefaultParagraphFont"/>
    <w:uiPriority w:val="21"/>
    <w:qFormat/>
    <w:rsid w:val="004D52BD"/>
    <w:rPr>
      <w:i/>
      <w:iCs/>
      <w:color w:val="0F4761" w:themeColor="accent1" w:themeShade="BF"/>
    </w:rPr>
  </w:style>
  <w:style w:type="paragraph" w:styleId="IntenseQuote">
    <w:name w:val="Intense Quote"/>
    <w:basedOn w:val="Normal"/>
    <w:next w:val="Normal"/>
    <w:link w:val="IntenseQuoteChar"/>
    <w:uiPriority w:val="30"/>
    <w:qFormat/>
    <w:rsid w:val="004D52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52BD"/>
    <w:rPr>
      <w:i/>
      <w:iCs/>
      <w:color w:val="0F4761" w:themeColor="accent1" w:themeShade="BF"/>
    </w:rPr>
  </w:style>
  <w:style w:type="character" w:styleId="IntenseReference">
    <w:name w:val="Intense Reference"/>
    <w:basedOn w:val="DefaultParagraphFont"/>
    <w:uiPriority w:val="32"/>
    <w:qFormat/>
    <w:rsid w:val="004D52BD"/>
    <w:rPr>
      <w:b/>
      <w:bCs/>
      <w:smallCaps/>
      <w:color w:val="0F4761" w:themeColor="accent1" w:themeShade="BF"/>
      <w:spacing w:val="5"/>
    </w:rPr>
  </w:style>
  <w:style w:type="paragraph" w:customStyle="1" w:styleId="Default">
    <w:name w:val="Default"/>
    <w:rsid w:val="00325A19"/>
    <w:pPr>
      <w:autoSpaceDE w:val="0"/>
      <w:autoSpaceDN w:val="0"/>
      <w:adjustRightInd w:val="0"/>
      <w:spacing w:after="0" w:line="240" w:lineRule="auto"/>
    </w:pPr>
    <w:rPr>
      <w:rFonts w:ascii="Open Sans" w:hAnsi="Open Sans" w:cs="Open Sans"/>
      <w:color w:val="000000"/>
      <w:kern w:val="0"/>
    </w:rPr>
  </w:style>
  <w:style w:type="paragraph" w:styleId="Header">
    <w:name w:val="header"/>
    <w:basedOn w:val="Normal"/>
    <w:link w:val="HeaderChar"/>
    <w:uiPriority w:val="99"/>
    <w:unhideWhenUsed/>
    <w:rsid w:val="009645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458F"/>
  </w:style>
  <w:style w:type="paragraph" w:styleId="Footer">
    <w:name w:val="footer"/>
    <w:basedOn w:val="Normal"/>
    <w:link w:val="FooterChar"/>
    <w:uiPriority w:val="99"/>
    <w:unhideWhenUsed/>
    <w:rsid w:val="009645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458F"/>
  </w:style>
  <w:style w:type="character" w:styleId="Hyperlink">
    <w:name w:val="Hyperlink"/>
    <w:basedOn w:val="DefaultParagraphFont"/>
    <w:uiPriority w:val="99"/>
    <w:unhideWhenUsed/>
    <w:rsid w:val="00074816"/>
    <w:rPr>
      <w:color w:val="467886" w:themeColor="hyperlink"/>
      <w:u w:val="single"/>
    </w:rPr>
  </w:style>
  <w:style w:type="character" w:styleId="UnresolvedMention">
    <w:name w:val="Unresolved Mention"/>
    <w:basedOn w:val="DefaultParagraphFont"/>
    <w:uiPriority w:val="99"/>
    <w:semiHidden/>
    <w:unhideWhenUsed/>
    <w:rsid w:val="00074816"/>
    <w:rPr>
      <w:color w:val="605E5C"/>
      <w:shd w:val="clear" w:color="auto" w:fill="E1DFDD"/>
    </w:rPr>
  </w:style>
  <w:style w:type="paragraph" w:styleId="FootnoteText">
    <w:name w:val="footnote text"/>
    <w:basedOn w:val="Normal"/>
    <w:link w:val="FootnoteTextChar"/>
    <w:uiPriority w:val="99"/>
    <w:semiHidden/>
    <w:unhideWhenUsed/>
    <w:rsid w:val="0010021C"/>
    <w:pPr>
      <w:spacing w:after="0" w:line="240" w:lineRule="auto"/>
    </w:pPr>
    <w:rPr>
      <w:rFonts w:ascii="Arial" w:hAnsi="Arial"/>
      <w:kern w:val="0"/>
      <w:sz w:val="20"/>
      <w:szCs w:val="20"/>
      <w14:ligatures w14:val="none"/>
    </w:rPr>
  </w:style>
  <w:style w:type="character" w:customStyle="1" w:styleId="FootnoteTextChar">
    <w:name w:val="Footnote Text Char"/>
    <w:basedOn w:val="DefaultParagraphFont"/>
    <w:link w:val="FootnoteText"/>
    <w:uiPriority w:val="99"/>
    <w:semiHidden/>
    <w:rsid w:val="0010021C"/>
    <w:rPr>
      <w:rFonts w:ascii="Arial" w:hAnsi="Arial"/>
      <w:kern w:val="0"/>
      <w:sz w:val="20"/>
      <w:szCs w:val="20"/>
      <w14:ligatures w14:val="none"/>
    </w:rPr>
  </w:style>
  <w:style w:type="character" w:styleId="FootnoteReference">
    <w:name w:val="footnote reference"/>
    <w:basedOn w:val="DefaultParagraphFont"/>
    <w:uiPriority w:val="99"/>
    <w:semiHidden/>
    <w:unhideWhenUsed/>
    <w:rsid w:val="0010021C"/>
    <w:rPr>
      <w:vertAlign w:val="superscript"/>
    </w:rPr>
  </w:style>
  <w:style w:type="character" w:styleId="FollowedHyperlink">
    <w:name w:val="FollowedHyperlink"/>
    <w:basedOn w:val="DefaultParagraphFont"/>
    <w:uiPriority w:val="99"/>
    <w:semiHidden/>
    <w:unhideWhenUsed/>
    <w:rsid w:val="0029283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29348">
      <w:bodyDiv w:val="1"/>
      <w:marLeft w:val="0"/>
      <w:marRight w:val="0"/>
      <w:marTop w:val="0"/>
      <w:marBottom w:val="0"/>
      <w:divBdr>
        <w:top w:val="none" w:sz="0" w:space="0" w:color="auto"/>
        <w:left w:val="none" w:sz="0" w:space="0" w:color="auto"/>
        <w:bottom w:val="none" w:sz="0" w:space="0" w:color="auto"/>
        <w:right w:val="none" w:sz="0" w:space="0" w:color="auto"/>
      </w:divBdr>
    </w:div>
    <w:div w:id="42096504">
      <w:bodyDiv w:val="1"/>
      <w:marLeft w:val="0"/>
      <w:marRight w:val="0"/>
      <w:marTop w:val="0"/>
      <w:marBottom w:val="0"/>
      <w:divBdr>
        <w:top w:val="none" w:sz="0" w:space="0" w:color="auto"/>
        <w:left w:val="none" w:sz="0" w:space="0" w:color="auto"/>
        <w:bottom w:val="none" w:sz="0" w:space="0" w:color="auto"/>
        <w:right w:val="none" w:sz="0" w:space="0" w:color="auto"/>
      </w:divBdr>
    </w:div>
    <w:div w:id="208997776">
      <w:bodyDiv w:val="1"/>
      <w:marLeft w:val="0"/>
      <w:marRight w:val="0"/>
      <w:marTop w:val="0"/>
      <w:marBottom w:val="0"/>
      <w:divBdr>
        <w:top w:val="none" w:sz="0" w:space="0" w:color="auto"/>
        <w:left w:val="none" w:sz="0" w:space="0" w:color="auto"/>
        <w:bottom w:val="none" w:sz="0" w:space="0" w:color="auto"/>
        <w:right w:val="none" w:sz="0" w:space="0" w:color="auto"/>
      </w:divBdr>
    </w:div>
    <w:div w:id="259875439">
      <w:bodyDiv w:val="1"/>
      <w:marLeft w:val="0"/>
      <w:marRight w:val="0"/>
      <w:marTop w:val="0"/>
      <w:marBottom w:val="0"/>
      <w:divBdr>
        <w:top w:val="none" w:sz="0" w:space="0" w:color="auto"/>
        <w:left w:val="none" w:sz="0" w:space="0" w:color="auto"/>
        <w:bottom w:val="none" w:sz="0" w:space="0" w:color="auto"/>
        <w:right w:val="none" w:sz="0" w:space="0" w:color="auto"/>
      </w:divBdr>
    </w:div>
    <w:div w:id="599608493">
      <w:bodyDiv w:val="1"/>
      <w:marLeft w:val="0"/>
      <w:marRight w:val="0"/>
      <w:marTop w:val="0"/>
      <w:marBottom w:val="0"/>
      <w:divBdr>
        <w:top w:val="none" w:sz="0" w:space="0" w:color="auto"/>
        <w:left w:val="none" w:sz="0" w:space="0" w:color="auto"/>
        <w:bottom w:val="none" w:sz="0" w:space="0" w:color="auto"/>
        <w:right w:val="none" w:sz="0" w:space="0" w:color="auto"/>
      </w:divBdr>
    </w:div>
    <w:div w:id="629019384">
      <w:bodyDiv w:val="1"/>
      <w:marLeft w:val="0"/>
      <w:marRight w:val="0"/>
      <w:marTop w:val="0"/>
      <w:marBottom w:val="0"/>
      <w:divBdr>
        <w:top w:val="none" w:sz="0" w:space="0" w:color="auto"/>
        <w:left w:val="none" w:sz="0" w:space="0" w:color="auto"/>
        <w:bottom w:val="none" w:sz="0" w:space="0" w:color="auto"/>
        <w:right w:val="none" w:sz="0" w:space="0" w:color="auto"/>
      </w:divBdr>
    </w:div>
    <w:div w:id="641811699">
      <w:bodyDiv w:val="1"/>
      <w:marLeft w:val="0"/>
      <w:marRight w:val="0"/>
      <w:marTop w:val="0"/>
      <w:marBottom w:val="0"/>
      <w:divBdr>
        <w:top w:val="none" w:sz="0" w:space="0" w:color="auto"/>
        <w:left w:val="none" w:sz="0" w:space="0" w:color="auto"/>
        <w:bottom w:val="none" w:sz="0" w:space="0" w:color="auto"/>
        <w:right w:val="none" w:sz="0" w:space="0" w:color="auto"/>
      </w:divBdr>
    </w:div>
    <w:div w:id="731079929">
      <w:bodyDiv w:val="1"/>
      <w:marLeft w:val="0"/>
      <w:marRight w:val="0"/>
      <w:marTop w:val="0"/>
      <w:marBottom w:val="0"/>
      <w:divBdr>
        <w:top w:val="none" w:sz="0" w:space="0" w:color="auto"/>
        <w:left w:val="none" w:sz="0" w:space="0" w:color="auto"/>
        <w:bottom w:val="none" w:sz="0" w:space="0" w:color="auto"/>
        <w:right w:val="none" w:sz="0" w:space="0" w:color="auto"/>
      </w:divBdr>
    </w:div>
    <w:div w:id="926577195">
      <w:bodyDiv w:val="1"/>
      <w:marLeft w:val="0"/>
      <w:marRight w:val="0"/>
      <w:marTop w:val="0"/>
      <w:marBottom w:val="0"/>
      <w:divBdr>
        <w:top w:val="none" w:sz="0" w:space="0" w:color="auto"/>
        <w:left w:val="none" w:sz="0" w:space="0" w:color="auto"/>
        <w:bottom w:val="none" w:sz="0" w:space="0" w:color="auto"/>
        <w:right w:val="none" w:sz="0" w:space="0" w:color="auto"/>
      </w:divBdr>
    </w:div>
    <w:div w:id="1042560710">
      <w:bodyDiv w:val="1"/>
      <w:marLeft w:val="0"/>
      <w:marRight w:val="0"/>
      <w:marTop w:val="0"/>
      <w:marBottom w:val="0"/>
      <w:divBdr>
        <w:top w:val="none" w:sz="0" w:space="0" w:color="auto"/>
        <w:left w:val="none" w:sz="0" w:space="0" w:color="auto"/>
        <w:bottom w:val="none" w:sz="0" w:space="0" w:color="auto"/>
        <w:right w:val="none" w:sz="0" w:space="0" w:color="auto"/>
      </w:divBdr>
    </w:div>
    <w:div w:id="1085808008">
      <w:bodyDiv w:val="1"/>
      <w:marLeft w:val="0"/>
      <w:marRight w:val="0"/>
      <w:marTop w:val="0"/>
      <w:marBottom w:val="0"/>
      <w:divBdr>
        <w:top w:val="none" w:sz="0" w:space="0" w:color="auto"/>
        <w:left w:val="none" w:sz="0" w:space="0" w:color="auto"/>
        <w:bottom w:val="none" w:sz="0" w:space="0" w:color="auto"/>
        <w:right w:val="none" w:sz="0" w:space="0" w:color="auto"/>
      </w:divBdr>
    </w:div>
    <w:div w:id="1424566635">
      <w:bodyDiv w:val="1"/>
      <w:marLeft w:val="0"/>
      <w:marRight w:val="0"/>
      <w:marTop w:val="0"/>
      <w:marBottom w:val="0"/>
      <w:divBdr>
        <w:top w:val="none" w:sz="0" w:space="0" w:color="auto"/>
        <w:left w:val="none" w:sz="0" w:space="0" w:color="auto"/>
        <w:bottom w:val="none" w:sz="0" w:space="0" w:color="auto"/>
        <w:right w:val="none" w:sz="0" w:space="0" w:color="auto"/>
      </w:divBdr>
    </w:div>
    <w:div w:id="1462922014">
      <w:bodyDiv w:val="1"/>
      <w:marLeft w:val="0"/>
      <w:marRight w:val="0"/>
      <w:marTop w:val="0"/>
      <w:marBottom w:val="0"/>
      <w:divBdr>
        <w:top w:val="none" w:sz="0" w:space="0" w:color="auto"/>
        <w:left w:val="none" w:sz="0" w:space="0" w:color="auto"/>
        <w:bottom w:val="none" w:sz="0" w:space="0" w:color="auto"/>
        <w:right w:val="none" w:sz="0" w:space="0" w:color="auto"/>
      </w:divBdr>
    </w:div>
    <w:div w:id="1469401450">
      <w:bodyDiv w:val="1"/>
      <w:marLeft w:val="0"/>
      <w:marRight w:val="0"/>
      <w:marTop w:val="0"/>
      <w:marBottom w:val="0"/>
      <w:divBdr>
        <w:top w:val="none" w:sz="0" w:space="0" w:color="auto"/>
        <w:left w:val="none" w:sz="0" w:space="0" w:color="auto"/>
        <w:bottom w:val="none" w:sz="0" w:space="0" w:color="auto"/>
        <w:right w:val="none" w:sz="0" w:space="0" w:color="auto"/>
      </w:divBdr>
    </w:div>
    <w:div w:id="1493134034">
      <w:bodyDiv w:val="1"/>
      <w:marLeft w:val="0"/>
      <w:marRight w:val="0"/>
      <w:marTop w:val="0"/>
      <w:marBottom w:val="0"/>
      <w:divBdr>
        <w:top w:val="none" w:sz="0" w:space="0" w:color="auto"/>
        <w:left w:val="none" w:sz="0" w:space="0" w:color="auto"/>
        <w:bottom w:val="none" w:sz="0" w:space="0" w:color="auto"/>
        <w:right w:val="none" w:sz="0" w:space="0" w:color="auto"/>
      </w:divBdr>
    </w:div>
    <w:div w:id="1532573598">
      <w:bodyDiv w:val="1"/>
      <w:marLeft w:val="0"/>
      <w:marRight w:val="0"/>
      <w:marTop w:val="0"/>
      <w:marBottom w:val="0"/>
      <w:divBdr>
        <w:top w:val="none" w:sz="0" w:space="0" w:color="auto"/>
        <w:left w:val="none" w:sz="0" w:space="0" w:color="auto"/>
        <w:bottom w:val="none" w:sz="0" w:space="0" w:color="auto"/>
        <w:right w:val="none" w:sz="0" w:space="0" w:color="auto"/>
      </w:divBdr>
    </w:div>
    <w:div w:id="1601374838">
      <w:bodyDiv w:val="1"/>
      <w:marLeft w:val="0"/>
      <w:marRight w:val="0"/>
      <w:marTop w:val="0"/>
      <w:marBottom w:val="0"/>
      <w:divBdr>
        <w:top w:val="none" w:sz="0" w:space="0" w:color="auto"/>
        <w:left w:val="none" w:sz="0" w:space="0" w:color="auto"/>
        <w:bottom w:val="none" w:sz="0" w:space="0" w:color="auto"/>
        <w:right w:val="none" w:sz="0" w:space="0" w:color="auto"/>
      </w:divBdr>
    </w:div>
    <w:div w:id="1614827061">
      <w:bodyDiv w:val="1"/>
      <w:marLeft w:val="0"/>
      <w:marRight w:val="0"/>
      <w:marTop w:val="0"/>
      <w:marBottom w:val="0"/>
      <w:divBdr>
        <w:top w:val="none" w:sz="0" w:space="0" w:color="auto"/>
        <w:left w:val="none" w:sz="0" w:space="0" w:color="auto"/>
        <w:bottom w:val="none" w:sz="0" w:space="0" w:color="auto"/>
        <w:right w:val="none" w:sz="0" w:space="0" w:color="auto"/>
      </w:divBdr>
    </w:div>
    <w:div w:id="1662806418">
      <w:bodyDiv w:val="1"/>
      <w:marLeft w:val="0"/>
      <w:marRight w:val="0"/>
      <w:marTop w:val="0"/>
      <w:marBottom w:val="0"/>
      <w:divBdr>
        <w:top w:val="none" w:sz="0" w:space="0" w:color="auto"/>
        <w:left w:val="none" w:sz="0" w:space="0" w:color="auto"/>
        <w:bottom w:val="none" w:sz="0" w:space="0" w:color="auto"/>
        <w:right w:val="none" w:sz="0" w:space="0" w:color="auto"/>
      </w:divBdr>
    </w:div>
    <w:div w:id="1928533415">
      <w:bodyDiv w:val="1"/>
      <w:marLeft w:val="0"/>
      <w:marRight w:val="0"/>
      <w:marTop w:val="0"/>
      <w:marBottom w:val="0"/>
      <w:divBdr>
        <w:top w:val="none" w:sz="0" w:space="0" w:color="auto"/>
        <w:left w:val="none" w:sz="0" w:space="0" w:color="auto"/>
        <w:bottom w:val="none" w:sz="0" w:space="0" w:color="auto"/>
        <w:right w:val="none" w:sz="0" w:space="0" w:color="auto"/>
      </w:divBdr>
    </w:div>
    <w:div w:id="1939291253">
      <w:bodyDiv w:val="1"/>
      <w:marLeft w:val="0"/>
      <w:marRight w:val="0"/>
      <w:marTop w:val="0"/>
      <w:marBottom w:val="0"/>
      <w:divBdr>
        <w:top w:val="none" w:sz="0" w:space="0" w:color="auto"/>
        <w:left w:val="none" w:sz="0" w:space="0" w:color="auto"/>
        <w:bottom w:val="none" w:sz="0" w:space="0" w:color="auto"/>
        <w:right w:val="none" w:sz="0" w:space="0" w:color="auto"/>
      </w:divBdr>
    </w:div>
    <w:div w:id="1994337692">
      <w:bodyDiv w:val="1"/>
      <w:marLeft w:val="0"/>
      <w:marRight w:val="0"/>
      <w:marTop w:val="0"/>
      <w:marBottom w:val="0"/>
      <w:divBdr>
        <w:top w:val="none" w:sz="0" w:space="0" w:color="auto"/>
        <w:left w:val="none" w:sz="0" w:space="0" w:color="auto"/>
        <w:bottom w:val="none" w:sz="0" w:space="0" w:color="auto"/>
        <w:right w:val="none" w:sz="0" w:space="0" w:color="auto"/>
      </w:divBdr>
    </w:div>
    <w:div w:id="202212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mos.co.uk/research/home-improvement-a-triple-dividend-part-one-boosting-the-british-economy/"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housinglin.org.uk/Topics/type/HAA-Manifest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ppr.org/articles/all-hands-to-the-pump"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D2CA70CA811A4C9F18DA57CEC52A38" ma:contentTypeVersion="18" ma:contentTypeDescription="Create a new document." ma:contentTypeScope="" ma:versionID="5b1b663a65c68a42905943ae5f1cc868">
  <xsd:schema xmlns:xsd="http://www.w3.org/2001/XMLSchema" xmlns:xs="http://www.w3.org/2001/XMLSchema" xmlns:p="http://schemas.microsoft.com/office/2006/metadata/properties" xmlns:ns2="3e6cab67-71e1-43fe-bf44-962cf23444a2" xmlns:ns3="22d97ed3-d2a5-4c55-aaa9-0f8d366c11e6" targetNamespace="http://schemas.microsoft.com/office/2006/metadata/properties" ma:root="true" ma:fieldsID="bce262020e5b2c2a99f2d136ca5943cd" ns2:_="" ns3:_="">
    <xsd:import namespace="3e6cab67-71e1-43fe-bf44-962cf23444a2"/>
    <xsd:import namespace="22d97ed3-d2a5-4c55-aaa9-0f8d366c11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6cab67-71e1-43fe-bf44-962cf23444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e1341af-6b55-40d1-bbfc-2f154f0a75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d97ed3-d2a5-4c55-aaa9-0f8d366c11e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e1bcc3-3507-4c8f-bcef-5392e852d6b9}" ma:internalName="TaxCatchAll" ma:showField="CatchAllData" ma:web="22d97ed3-d2a5-4c55-aaa9-0f8d366c11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2d97ed3-d2a5-4c55-aaa9-0f8d366c11e6" xsi:nil="true"/>
    <lcf76f155ced4ddcb4097134ff3c332f xmlns="3e6cab67-71e1-43fe-bf44-962cf23444a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DFF282F-52D3-41D1-9375-4EBF553DCC09}"/>
</file>

<file path=customXml/itemProps2.xml><?xml version="1.0" encoding="utf-8"?>
<ds:datastoreItem xmlns:ds="http://schemas.openxmlformats.org/officeDocument/2006/customXml" ds:itemID="{39258021-22F0-4B46-A80B-ECAAF6A52DAB}"/>
</file>

<file path=customXml/itemProps3.xml><?xml version="1.0" encoding="utf-8"?>
<ds:datastoreItem xmlns:ds="http://schemas.openxmlformats.org/officeDocument/2006/customXml" ds:itemID="{29CCEBD6-F7F0-43D4-8907-F31642836CF3}"/>
</file>

<file path=docProps/app.xml><?xml version="1.0" encoding="utf-8"?>
<Properties xmlns="http://schemas.openxmlformats.org/officeDocument/2006/extended-properties" xmlns:vt="http://schemas.openxmlformats.org/officeDocument/2006/docPropsVTypes">
  <Template>Normal</Template>
  <TotalTime>31</TotalTime>
  <Pages>3</Pages>
  <Words>1160</Words>
  <Characters>6617</Characters>
  <Application>Microsoft Office Word</Application>
  <DocSecurity>0</DocSecurity>
  <Lines>55</Lines>
  <Paragraphs>15</Paragraphs>
  <ScaleCrop>false</ScaleCrop>
  <Company/>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Ambrosi, Mario</dc:creator>
  <cp:keywords/>
  <dc:description/>
  <cp:lastModifiedBy>Mario Ambrosi</cp:lastModifiedBy>
  <cp:revision>30</cp:revision>
  <dcterms:created xsi:type="dcterms:W3CDTF">2025-02-08T17:18:00Z</dcterms:created>
  <dcterms:modified xsi:type="dcterms:W3CDTF">2025-02-08T17:52:00Z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0x01010037D2CA70CA811A4C9F18DA57CEC52A38</vt:lpwstr>
  </property>
</Properties>
</file>